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sz w:val="32"/>
          <w:szCs w:val="32"/>
          <w:highlight w:val="none"/>
        </w:rPr>
      </w:pPr>
      <w:r>
        <w:rPr>
          <w:b/>
          <w:bCs/>
          <w:sz w:val="32"/>
          <w:szCs w:val="32"/>
        </w:rPr>
      </w:r>
      <w:r>
        <w:rPr>
          <w:b/>
          <w:bCs/>
          <w:sz w:val="32"/>
          <w:szCs w:val="32"/>
        </w:rPr>
        <w:t xml:space="preserve">Demografski trendovi i struktura stanovništva Novog Pazara kroz različite popisne godine</w:t>
      </w:r>
      <w:r>
        <w:rPr>
          <w:b/>
          <w:bCs/>
          <w:sz w:val="32"/>
          <w:szCs w:val="32"/>
        </w:rPr>
      </w:r>
      <w:r/>
    </w:p>
    <w:p>
      <w:pPr>
        <w:rPr>
          <w:b/>
          <w:bCs/>
          <w:highlight w:val="none"/>
        </w:rPr>
      </w:pPr>
      <w:r>
        <w:rPr>
          <w:b/>
          <w:bCs/>
        </w:rPr>
        <w:t xml:space="preserve">Originalni podaci: </w:t>
      </w:r>
      <w:r>
        <w:rPr>
          <w:b/>
          <w:bCs/>
        </w:rPr>
      </w:r>
      <w:r/>
    </w:p>
    <w:p>
      <w:pPr>
        <w:jc w:val="both"/>
        <w:rPr>
          <w:highlight w:val="none"/>
        </w:rPr>
      </w:pPr>
      <w:r>
        <w:rPr>
          <w:highlight w:val="none"/>
        </w:rPr>
        <w:t xml:space="preserve">Komentar demog</w:t>
      </w:r>
      <w:r>
        <w:rPr>
          <w:highlight w:val="none"/>
        </w:rPr>
        <w:t xml:space="preserve">rafskih trendova i strukture stanovništva se bazira na originalnim podacima preuzetim iz baze Republičkog zavoda za statistiku. Podaci se odnose na ukuban brojs stanovnika i na starosnu strukturu stanovnika zabeleženu u popisima za koje su podaci dostupni:</w:t>
      </w:r>
      <w:r>
        <w:rPr>
          <w:highlight w:val="none"/>
        </w:rPr>
      </w:r>
      <w:r/>
    </w:p>
    <w:tbl>
      <w:tblPr>
        <w:tblStyle w:val="762"/>
        <w:tblW w:w="0" w:type="auto"/>
        <w:jc w:val="center"/>
        <w:tblInd w:w="-96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1399"/>
        <w:gridCol w:w="1559"/>
        <w:gridCol w:w="6077"/>
      </w:tblGrid>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Calibri" w:cs="Asana"/>
                <w:b w:val="0"/>
                <w:bCs w:val="0"/>
                <w:i w:val="0"/>
                <w:iCs w:val="0"/>
                <w:color w:val="000000"/>
                <w:sz w:val="22"/>
                <w:szCs w:val="22"/>
              </w:rPr>
              <w:t xml:space="preserve">Novi Pazar</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000000" w:sz="6" w:space="0"/>
            </w:tcBorders>
            <w:tcMar>
              <w:left w:w="0" w:type="dxa"/>
              <w:top w:w="0" w:type="dxa"/>
              <w:right w:w="0" w:type="dxa"/>
              <w:bottom w:w="0" w:type="dxa"/>
            </w:tcMar>
            <w:tcW w:w="1559" w:type="dxa"/>
            <w:vAlign w:val="center"/>
            <w:textDirection w:val="lrTb"/>
            <w:noWrap w:val="false"/>
          </w:tcPr>
          <w:p>
            <w:pPr>
              <w:contextualSpacing w:val="0"/>
              <w:ind w:left="0" w:right="0" w:firstLine="0"/>
              <w:jc w:val="center"/>
              <w:spacing w:before="0" w:after="0" w:line="283" w:lineRule="atLeast"/>
              <w:rPr>
                <w:rFonts w:ascii="Asana" w:hAnsi="Asana" w:cs="Asana"/>
                <w:b w:val="0"/>
                <w:bCs w:val="0"/>
                <w:i w:val="0"/>
                <w:szCs w:val="22"/>
              </w:rPr>
              <w:pBdr>
                <w:top w:val="none" w:color="000000" w:sz="4" w:space="0"/>
                <w:left w:val="none" w:color="000000" w:sz="4" w:space="0"/>
                <w:bottom w:val="none" w:color="000000" w:sz="4" w:space="0"/>
                <w:right w:val="none" w:color="000000" w:sz="4" w:space="0"/>
              </w:pBdr>
              <w:suppressLineNumbers w:val="0"/>
            </w:pPr>
            <w:r>
              <w:rPr>
                <w:rFonts w:ascii="Asana" w:hAnsi="Asana" w:eastAsia="Calibri" w:cs="Asana"/>
                <w:b w:val="0"/>
                <w:bCs w:val="0"/>
                <w:i w:val="0"/>
                <w:iCs w:val="0"/>
                <w:color w:val="000000"/>
                <w:sz w:val="22"/>
                <w:szCs w:val="22"/>
              </w:rPr>
              <w:t xml:space="preserve">Broj stanovnika</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000000" w:sz="6" w:space="0"/>
            </w:tcBorders>
            <w:tcMar>
              <w:left w:w="0" w:type="dxa"/>
              <w:top w:w="0" w:type="dxa"/>
              <w:right w:w="0" w:type="dxa"/>
              <w:bottom w:w="0" w:type="dxa"/>
            </w:tcMar>
            <w:tcW w:w="6077" w:type="dxa"/>
            <w:vAlign w:val="center"/>
            <w:vMerge w:val="restart"/>
            <w:textDirection w:val="lrTb"/>
            <w:noWrap w:val="false"/>
          </w:tcPr>
          <w:p>
            <w:pPr>
              <w:contextualSpacing w:val="0"/>
              <w:jc w:val="center"/>
              <w:spacing w:before="0" w:after="0" w:line="283" w:lineRule="atLeast"/>
              <w:rPr>
                <w:rFonts w:ascii="Asana" w:hAnsi="Asana" w:cs="Asana"/>
                <w:bCs/>
                <w:i/>
                <w:color w:val="000000"/>
                <w:sz w:val="22"/>
                <w:szCs w:val="22"/>
              </w:rPr>
              <w:suppressLineNumbers w:val="0"/>
            </w:pPr>
            <w:r>
              <w:rPr>
                <w:rFonts w:ascii="Asana" w:hAnsi="Asana" w:eastAsia="Arial Narrow" w:cs="Asana"/>
                <w:i/>
                <w:iCs/>
                <w:color w:val="000000"/>
                <w:sz w:val="22"/>
                <w:szCs w:val="22"/>
              </w:rPr>
            </w:r>
            <w:r>
              <w:rPr>
                <w:rFonts w:ascii="Asana" w:hAnsi="Asana" w:cs="Asana"/>
                <w:sz w:val="22"/>
                <w:szCs w:val="22"/>
              </w:rPr>
              <mc:AlternateContent>
                <mc:Choice Requires="wpg">
                  <w:drawing>
                    <wp:inline xmlns:wp="http://schemas.openxmlformats.org/drawingml/2006/wordprocessingDrawing" distT="0" distB="0" distL="0" distR="0">
                      <wp:extent cx="3785434" cy="2358407"/>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64608" name=""/>
                              <pic:cNvPicPr>
                                <a:picLocks noChangeAspect="1"/>
                              </pic:cNvPicPr>
                              <pic:nvPr/>
                            </pic:nvPicPr>
                            <pic:blipFill>
                              <a:blip r:embed="rId11"/>
                              <a:stretch/>
                            </pic:blipFill>
                            <pic:spPr bwMode="auto">
                              <a:xfrm flipH="0" flipV="0">
                                <a:off x="0" y="0"/>
                                <a:ext cx="3785432" cy="235840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1pt;height:185.7pt;mso-wrap-distance-left:0.0pt;mso-wrap-distance-top:0.0pt;mso-wrap-distance-right:0.0pt;mso-wrap-distance-bottom:0.0pt;" stroked="false">
                      <v:path textboxrect="0,0,0,0"/>
                      <v:imagedata r:id="rId11" o:title=""/>
                    </v:shape>
                  </w:pict>
                </mc:Fallback>
              </mc:AlternateContent>
            </w:r>
            <w:r>
              <w:rPr>
                <w:rFonts w:ascii="Asana" w:hAnsi="Asana" w:eastAsia="Arial Narrow" w:cs="Asana"/>
                <w:i/>
                <w:iCs/>
                <w:color w:val="000000"/>
                <w:sz w:val="22"/>
                <w:szCs w:val="22"/>
              </w:rPr>
            </w:r>
            <w:r/>
          </w:p>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Calibri" w:cs="Asana"/>
                <w:b w:val="0"/>
                <w:bCs w:val="0"/>
                <w:i w:val="0"/>
                <w:iCs w:val="0"/>
                <w:color w:val="000000"/>
                <w:sz w:val="22"/>
                <w:szCs w:val="22"/>
              </w:rPr>
              <w:t xml:space="preserve">g.1948</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55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Times New Roman" w:cs="Asana"/>
                <w:b w:val="0"/>
                <w:bCs w:val="0"/>
                <w:i w:val="0"/>
                <w:iCs w:val="0"/>
                <w:color w:val="000000"/>
                <w:sz w:val="22"/>
                <w:szCs w:val="22"/>
              </w:rPr>
              <w:t xml:space="preserve">44020</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077" w:type="dxa"/>
            <w:vAlign w:val="bottom"/>
            <w:vMerge w:val="continue"/>
            <w:textDirection w:val="lrTb"/>
            <w:noWrap w:val="false"/>
          </w:tcPr>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Calibri" w:cs="Asana"/>
                <w:b w:val="0"/>
                <w:bCs w:val="0"/>
                <w:i w:val="0"/>
                <w:iCs w:val="0"/>
                <w:color w:val="000000"/>
                <w:sz w:val="22"/>
                <w:szCs w:val="22"/>
              </w:rPr>
              <w:t xml:space="preserve">g.1953</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55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Times New Roman" w:cs="Asana"/>
                <w:b w:val="0"/>
                <w:bCs w:val="0"/>
                <w:i w:val="0"/>
                <w:iCs w:val="0"/>
                <w:color w:val="000000"/>
                <w:sz w:val="22"/>
                <w:szCs w:val="22"/>
              </w:rPr>
              <w:t xml:space="preserve">50189</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077" w:type="dxa"/>
            <w:vAlign w:val="bottom"/>
            <w:vMerge w:val="continue"/>
            <w:textDirection w:val="lrTb"/>
            <w:noWrap w:val="false"/>
          </w:tcPr>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Calibri" w:cs="Asana"/>
                <w:b w:val="0"/>
                <w:bCs w:val="0"/>
                <w:i w:val="0"/>
                <w:iCs w:val="0"/>
                <w:color w:val="000000"/>
                <w:sz w:val="22"/>
                <w:szCs w:val="22"/>
              </w:rPr>
              <w:t xml:space="preserve">g.1961</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55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Times New Roman" w:cs="Asana"/>
                <w:b w:val="0"/>
                <w:bCs w:val="0"/>
                <w:i w:val="0"/>
                <w:iCs w:val="0"/>
                <w:color w:val="000000"/>
                <w:sz w:val="22"/>
                <w:szCs w:val="22"/>
              </w:rPr>
              <w:t xml:space="preserve">58777</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077" w:type="dxa"/>
            <w:vAlign w:val="bottom"/>
            <w:vMerge w:val="continue"/>
            <w:textDirection w:val="lrTb"/>
            <w:noWrap w:val="false"/>
          </w:tcPr>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Calibri" w:cs="Asana"/>
                <w:b w:val="0"/>
                <w:bCs w:val="0"/>
                <w:i w:val="0"/>
                <w:iCs w:val="0"/>
                <w:color w:val="000000"/>
                <w:sz w:val="22"/>
                <w:szCs w:val="22"/>
              </w:rPr>
              <w:t xml:space="preserve">g.1971</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55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Times New Roman" w:cs="Asana"/>
                <w:b w:val="0"/>
                <w:bCs w:val="0"/>
                <w:i w:val="0"/>
                <w:iCs w:val="0"/>
                <w:color w:val="000000"/>
                <w:sz w:val="22"/>
                <w:szCs w:val="22"/>
              </w:rPr>
              <w:t xml:space="preserve">64326</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077" w:type="dxa"/>
            <w:vAlign w:val="bottom"/>
            <w:vMerge w:val="continue"/>
            <w:textDirection w:val="lrTb"/>
            <w:noWrap w:val="false"/>
          </w:tcPr>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Calibri" w:cs="Asana"/>
                <w:b w:val="0"/>
                <w:bCs w:val="0"/>
                <w:i w:val="0"/>
                <w:iCs w:val="0"/>
                <w:color w:val="000000"/>
                <w:sz w:val="22"/>
                <w:szCs w:val="22"/>
              </w:rPr>
              <w:t xml:space="preserve">g.1981</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55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Times New Roman" w:cs="Asana"/>
                <w:b w:val="0"/>
                <w:bCs w:val="0"/>
                <w:i w:val="0"/>
                <w:iCs w:val="0"/>
                <w:color w:val="000000"/>
                <w:sz w:val="22"/>
                <w:szCs w:val="22"/>
              </w:rPr>
              <w:t xml:space="preserve">74000</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077" w:type="dxa"/>
            <w:vAlign w:val="bottom"/>
            <w:vMerge w:val="continue"/>
            <w:textDirection w:val="lrTb"/>
            <w:noWrap w:val="false"/>
          </w:tcPr>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Calibri" w:cs="Asana"/>
                <w:b w:val="0"/>
                <w:bCs w:val="0"/>
                <w:i w:val="0"/>
                <w:iCs w:val="0"/>
                <w:color w:val="000000"/>
                <w:sz w:val="22"/>
                <w:szCs w:val="22"/>
              </w:rPr>
              <w:t xml:space="preserve">g.1991</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55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Times New Roman" w:cs="Asana"/>
                <w:b w:val="0"/>
                <w:bCs w:val="0"/>
                <w:i w:val="0"/>
                <w:iCs w:val="0"/>
                <w:color w:val="000000"/>
                <w:sz w:val="22"/>
                <w:szCs w:val="22"/>
              </w:rPr>
              <w:t xml:space="preserve">85249</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077" w:type="dxa"/>
            <w:vAlign w:val="bottom"/>
            <w:vMerge w:val="continue"/>
            <w:textDirection w:val="lrTb"/>
            <w:noWrap w:val="false"/>
          </w:tcPr>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Calibri" w:cs="Asana"/>
                <w:b w:val="0"/>
                <w:bCs w:val="0"/>
                <w:i w:val="0"/>
                <w:iCs w:val="0"/>
                <w:color w:val="000000"/>
                <w:sz w:val="22"/>
                <w:szCs w:val="22"/>
              </w:rPr>
              <w:t xml:space="preserve">g.2002</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55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Times New Roman" w:cs="Asana"/>
                <w:b w:val="0"/>
                <w:bCs w:val="0"/>
                <w:i w:val="0"/>
                <w:iCs w:val="0"/>
                <w:color w:val="000000"/>
                <w:sz w:val="22"/>
                <w:szCs w:val="22"/>
              </w:rPr>
              <w:t xml:space="preserve">96260</w:t>
            </w:r>
            <w:r>
              <w:rPr>
                <w:rFonts w:ascii="Asana" w:hAnsi="Asana" w:cs="Asana"/>
                <w:b w:val="0"/>
                <w:bCs w:val="0"/>
                <w:i w:val="0"/>
                <w:iCs w:val="0"/>
                <w:sz w:val="22"/>
                <w:szCs w:val="22"/>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077" w:type="dxa"/>
            <w:vAlign w:val="bottom"/>
            <w:vMerge w:val="continue"/>
            <w:textDirection w:val="lrTb"/>
            <w:noWrap w:val="false"/>
          </w:tcPr>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Calibri" w:cs="Asana"/>
                <w:b w:val="0"/>
                <w:bCs w:val="0"/>
                <w:i w:val="0"/>
                <w:iCs w:val="0"/>
                <w:color w:val="000000"/>
                <w:sz w:val="22"/>
                <w:szCs w:val="22"/>
              </w:rPr>
              <w:t xml:space="preserve">g.2011</w:t>
            </w:r>
            <w:r>
              <w:rPr>
                <w:rFonts w:ascii="Asana" w:hAnsi="Asana" w:cs="Asana"/>
                <w:b w:val="0"/>
                <w:bCs w:val="0"/>
                <w:i w:val="0"/>
                <w:iCs w:val="0"/>
                <w:sz w:val="22"/>
                <w:szCs w:val="22"/>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1559" w:type="dxa"/>
            <w:vAlign w:val="center"/>
            <w:textDirection w:val="lrTb"/>
            <w:noWrap w:val="false"/>
          </w:tcPr>
          <w:p>
            <w:pPr>
              <w:contextualSpacing w:val="0"/>
              <w:jc w:val="center"/>
              <w:spacing w:before="0" w:after="0" w:line="283" w:lineRule="atLeast"/>
              <w:rPr>
                <w:rFonts w:ascii="Asana" w:hAnsi="Asana" w:cs="Asana"/>
                <w:b w:val="0"/>
                <w:bCs w:val="0"/>
                <w:i w:val="0"/>
                <w:sz w:val="22"/>
                <w:szCs w:val="22"/>
              </w:rPr>
              <w:suppressLineNumbers w:val="0"/>
            </w:pPr>
            <w:r>
              <w:rPr>
                <w:rFonts w:ascii="Asana" w:hAnsi="Asana" w:eastAsia="Times New Roman" w:cs="Asana"/>
                <w:b w:val="0"/>
                <w:bCs w:val="0"/>
                <w:i w:val="0"/>
                <w:iCs w:val="0"/>
                <w:color w:val="000000"/>
                <w:sz w:val="22"/>
                <w:szCs w:val="22"/>
              </w:rPr>
              <w:t xml:space="preserve">100410</w:t>
            </w:r>
            <w:r>
              <w:rPr>
                <w:rFonts w:ascii="Asana" w:hAnsi="Asana" w:cs="Asana"/>
                <w:b w:val="0"/>
                <w:bCs w:val="0"/>
                <w:i w:val="0"/>
                <w:iCs w:val="0"/>
                <w:sz w:val="22"/>
                <w:szCs w:val="22"/>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6077" w:type="dxa"/>
            <w:vAlign w:val="bottom"/>
            <w:vMerge w:val="continue"/>
            <w:textDirection w:val="lrTb"/>
            <w:noWrap w:val="false"/>
          </w:tcPr>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textDirection w:val="lrTb"/>
            <w:noWrap w:val="false"/>
          </w:tcPr>
          <w:p>
            <w:pPr>
              <w:contextualSpacing w:val="0"/>
              <w:jc w:val="center"/>
              <w:spacing w:before="0" w:after="0" w:line="283" w:lineRule="atLeast"/>
              <w:rPr>
                <w:rFonts w:ascii="Asana" w:hAnsi="Asana" w:eastAsia="Calibri" w:cs="Asana"/>
                <w:b/>
                <w:bCs/>
                <w:i w:val="0"/>
                <w:color w:val="000000"/>
                <w:sz w:val="22"/>
                <w:szCs w:val="22"/>
                <w:highlight w:val="none"/>
              </w:rPr>
              <w:suppressLineNumbers w:val="0"/>
            </w:pPr>
            <w:r>
              <w:rPr>
                <w:rFonts w:ascii="Asana" w:hAnsi="Asana" w:eastAsia="Calibri" w:cs="Asana"/>
                <w:b/>
                <w:bCs/>
                <w:i w:val="0"/>
                <w:iCs w:val="0"/>
                <w:color w:val="000000"/>
                <w:sz w:val="22"/>
                <w:szCs w:val="22"/>
              </w:rPr>
              <w:t xml:space="preserve">g.2022</w:t>
            </w:r>
            <w:r>
              <w:rPr>
                <w:rFonts w:ascii="Asana" w:hAnsi="Asana" w:eastAsia="Calibri" w:cs="Asana"/>
                <w:b/>
                <w:bCs/>
                <w:i w:val="0"/>
                <w:color w:val="000000"/>
                <w:sz w:val="22"/>
                <w:szCs w:val="22"/>
                <w:highlight w:val="none"/>
              </w:rPr>
            </w:r>
            <w:r>
              <w:rPr>
                <w:b/>
                <w:bCs/>
              </w:rP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1559" w:type="dxa"/>
            <w:vAlign w:val="center"/>
            <w:textDirection w:val="lrTb"/>
            <w:noWrap w:val="false"/>
          </w:tcPr>
          <w:p>
            <w:pPr>
              <w:contextualSpacing w:val="0"/>
              <w:jc w:val="center"/>
              <w:spacing w:before="0" w:after="0" w:line="283" w:lineRule="atLeast"/>
              <w:rPr>
                <w:rFonts w:ascii="Asana" w:hAnsi="Asana" w:eastAsia="Arial Narrow" w:cs="Asana"/>
                <w:b w:val="0"/>
                <w:bCs w:val="0"/>
                <w:i w:val="0"/>
                <w:color w:val="000000"/>
                <w:sz w:val="22"/>
                <w:szCs w:val="22"/>
                <w:highlight w:val="none"/>
              </w:rPr>
              <w:suppressLineNumbers w:val="0"/>
            </w:pPr>
            <w:r>
              <w:rPr>
                <w:rFonts w:ascii="Asana" w:hAnsi="Asana" w:eastAsia="Arial Narrow" w:cs="Asana"/>
                <w:b w:val="0"/>
                <w:bCs w:val="0"/>
                <w:i w:val="0"/>
                <w:iCs w:val="0"/>
                <w:color w:val="000000"/>
                <w:sz w:val="22"/>
                <w:szCs w:val="22"/>
              </w:rPr>
              <w:t xml:space="preserve">106720</w:t>
            </w:r>
            <w:r>
              <w:rPr>
                <w:rFonts w:ascii="Asana" w:hAnsi="Asana" w:eastAsia="Arial Narrow" w:cs="Asana"/>
                <w:b w:val="0"/>
                <w:bCs w:val="0"/>
                <w:i w:val="0"/>
                <w:color w:val="000000"/>
                <w:sz w:val="22"/>
                <w:szCs w:val="22"/>
                <w:highlight w:val="none"/>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6077" w:type="dxa"/>
            <w:vAlign w:val="center"/>
            <w:vMerge w:val="continue"/>
            <w:textDirection w:val="lrTb"/>
            <w:noWrap w:val="false"/>
          </w:tcPr>
          <w:p>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399" w:type="dxa"/>
            <w:vAlign w:val="center"/>
            <w:vMerge w:val="restart"/>
            <w:textDirection w:val="lrTb"/>
            <w:noWrap w:val="false"/>
          </w:tcPr>
          <w:p>
            <w:pPr>
              <w:contextualSpacing w:val="0"/>
              <w:jc w:val="center"/>
              <w:spacing w:before="0" w:after="0" w:line="283" w:lineRule="atLeast"/>
              <w:rPr>
                <w:rFonts w:ascii="Asana" w:hAnsi="Asana" w:eastAsia="Calibri" w:cs="Asana"/>
                <w:b w:val="0"/>
                <w:bCs w:val="0"/>
                <w:i w:val="0"/>
                <w:iCs w:val="0"/>
                <w:color w:val="000000"/>
                <w:sz w:val="22"/>
                <w:szCs w:val="22"/>
              </w:rPr>
              <w:suppressLineNumbers w:val="0"/>
            </w:pPr>
            <w:r>
              <w:rPr>
                <w:rFonts w:ascii="Asana" w:hAnsi="Asana" w:eastAsia="Calibri" w:cs="Asana"/>
                <w:b w:val="0"/>
                <w:bCs w:val="0"/>
                <w:i w:val="0"/>
                <w:iCs w:val="0"/>
                <w:color w:val="000000"/>
                <w:sz w:val="22"/>
                <w:szCs w:val="22"/>
              </w:rPr>
            </w:r>
            <w:r>
              <w:rPr>
                <w:rFonts w:ascii="Asana" w:hAnsi="Asana" w:eastAsia="Calibri" w:cs="Asana"/>
                <w:b w:val="0"/>
                <w:bCs w:val="0"/>
                <w:i w:val="0"/>
                <w:iCs w:val="0"/>
                <w:color w:val="000000"/>
                <w:sz w:val="22"/>
                <w:szCs w:val="22"/>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1559" w:type="dxa"/>
            <w:vAlign w:val="center"/>
            <w:vMerge w:val="restart"/>
            <w:textDirection w:val="lrTb"/>
            <w:noWrap w:val="false"/>
          </w:tcPr>
          <w:p>
            <w:pPr>
              <w:contextualSpacing w:val="0"/>
              <w:jc w:val="center"/>
              <w:spacing w:before="0" w:after="0" w:line="283" w:lineRule="atLeast"/>
              <w:rPr>
                <w:rFonts w:ascii="Asana" w:hAnsi="Asana" w:eastAsia="Arial Narrow" w:cs="Asana"/>
                <w:b w:val="0"/>
                <w:bCs w:val="0"/>
                <w:i w:val="0"/>
                <w:iCs w:val="0"/>
                <w:color w:val="000000"/>
                <w:sz w:val="22"/>
                <w:szCs w:val="22"/>
              </w:rPr>
              <w:suppressLineNumbers w:val="0"/>
            </w:pPr>
            <w:r>
              <w:rPr>
                <w:rFonts w:ascii="Asana" w:hAnsi="Asana" w:eastAsia="Arial Narrow" w:cs="Asana"/>
                <w:b w:val="0"/>
                <w:bCs w:val="0"/>
                <w:i w:val="0"/>
                <w:iCs w:val="0"/>
                <w:color w:val="000000"/>
                <w:sz w:val="22"/>
                <w:szCs w:val="22"/>
              </w:rPr>
            </w:r>
            <w:r>
              <w:rPr>
                <w:rFonts w:ascii="Asana" w:hAnsi="Asana" w:eastAsia="Arial Narrow" w:cs="Asana"/>
                <w:b w:val="0"/>
                <w:bCs w:val="0"/>
                <w:i w:val="0"/>
                <w:iCs w:val="0"/>
                <w:color w:val="000000"/>
                <w:sz w:val="22"/>
                <w:szCs w:val="22"/>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6077" w:type="dxa"/>
            <w:vAlign w:val="center"/>
            <w:vMerge w:val="continue"/>
            <w:textDirection w:val="lrTb"/>
            <w:noWrap w:val="false"/>
          </w:tcPr>
          <w:p>
            <w:r/>
            <w:r/>
          </w:p>
        </w:tc>
      </w:tr>
      <w:tr>
        <w:trPr>
          <w:trHeight w:val="285"/>
        </w:trPr>
        <w:tc>
          <w:tcPr>
            <w:gridSpan w:val="3"/>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9036" w:type="dxa"/>
            <w:vAlign w:val="center"/>
            <w:vMerge w:val="restart"/>
            <w:textDirection w:val="lrTb"/>
            <w:noWrap w:val="false"/>
          </w:tcPr>
          <w:p>
            <w:pPr>
              <w:jc w:val="center"/>
            </w:pPr>
            <w:r>
              <w:t xml:space="preserve">Tabela 1. – Ukupan broj stanovnika po popisima</w:t>
            </w:r>
            <w:r/>
          </w:p>
        </w:tc>
      </w:tr>
    </w:tbl>
    <w:p>
      <w:pPr>
        <w:jc w:val="left"/>
        <w:rPr>
          <w:highlight w:val="none"/>
        </w:rPr>
      </w:pPr>
      <w:r>
        <w:rPr>
          <w:highlight w:val="none"/>
        </w:rPr>
      </w:r>
      <w:r>
        <w:rPr>
          <w:highlight w:val="none"/>
        </w:rPr>
      </w:r>
      <w:r/>
    </w:p>
    <w:p>
      <w:pPr>
        <w:jc w:val="left"/>
        <w:rPr>
          <w:highlight w:val="none"/>
        </w:rPr>
      </w:pPr>
      <w:r>
        <w:rPr>
          <w:highlight w:val="none"/>
        </w:rPr>
      </w:r>
      <w:r>
        <w:rPr>
          <w:highlight w:val="none"/>
        </w:rPr>
        <w:t xml:space="preserve">Drugi set podataka koji se koristi su podaci o starosnoj strukturi stanovnika po popisima:</w:t>
      </w:r>
      <w:r>
        <w:rPr>
          <w:highlight w:val="none"/>
        </w:rPr>
      </w:r>
      <w:r/>
    </w:p>
    <w:tbl>
      <w:tblPr>
        <w:tblStyle w:val="762"/>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1084"/>
        <w:gridCol w:w="397"/>
        <w:gridCol w:w="397"/>
        <w:gridCol w:w="397"/>
        <w:gridCol w:w="397"/>
        <w:gridCol w:w="397"/>
        <w:gridCol w:w="397"/>
        <w:gridCol w:w="397"/>
        <w:gridCol w:w="397"/>
        <w:gridCol w:w="397"/>
        <w:gridCol w:w="397"/>
        <w:gridCol w:w="397"/>
        <w:gridCol w:w="397"/>
        <w:gridCol w:w="397"/>
        <w:gridCol w:w="397"/>
        <w:gridCol w:w="397"/>
        <w:gridCol w:w="397"/>
        <w:gridCol w:w="638"/>
        <w:gridCol w:w="638"/>
        <w:gridCol w:w="638"/>
      </w:tblGrid>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Novi Pazar</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0-4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5-9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10-14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15-19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20-24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25-29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30-34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35-39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40-44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45-49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50-54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55-59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60-64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65-69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70-74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75-79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80-84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85-</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ukupno</w:t>
            </w:r>
            <w:r>
              <w:rPr>
                <w:rFonts w:ascii="Asana" w:hAnsi="Asana" w:cs="Asana"/>
                <w:b w:val="0"/>
                <w:bCs w:val="0"/>
                <w:i w:val="0"/>
                <w:iCs w:val="0"/>
                <w:sz w:val="16"/>
                <w:szCs w:val="16"/>
              </w:rPr>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g.1948</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44020</w:t>
            </w:r>
            <w:r>
              <w:rPr>
                <w:rFonts w:ascii="Asana" w:hAnsi="Asana" w:cs="Asana"/>
                <w:b w:val="0"/>
                <w:bCs w:val="0"/>
                <w:i w:val="0"/>
                <w:iCs w:val="0"/>
                <w:sz w:val="16"/>
                <w:szCs w:val="16"/>
              </w:rPr>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g.1953</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50189</w:t>
            </w:r>
            <w:r>
              <w:rPr>
                <w:rFonts w:ascii="Asana" w:hAnsi="Asana" w:cs="Asana"/>
                <w:b w:val="0"/>
                <w:bCs w:val="0"/>
                <w:i w:val="0"/>
                <w:iCs w:val="0"/>
                <w:sz w:val="16"/>
                <w:szCs w:val="16"/>
              </w:rPr>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g.1961</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58777</w:t>
            </w:r>
            <w:r>
              <w:rPr>
                <w:rFonts w:ascii="Asana" w:hAnsi="Asana" w:cs="Asana"/>
                <w:b w:val="0"/>
                <w:bCs w:val="0"/>
                <w:i w:val="0"/>
                <w:iCs w:val="0"/>
                <w:sz w:val="16"/>
                <w:szCs w:val="16"/>
              </w:rPr>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g.1971</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64326</w:t>
            </w:r>
            <w:r>
              <w:rPr>
                <w:rFonts w:ascii="Asana" w:hAnsi="Asana" w:cs="Asana"/>
                <w:b w:val="0"/>
                <w:bCs w:val="0"/>
                <w:i w:val="0"/>
                <w:iCs w:val="0"/>
                <w:sz w:val="16"/>
                <w:szCs w:val="16"/>
              </w:rPr>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g.1981</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7766</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7466</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7417</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7737</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7376</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6713</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5142</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3850</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4311</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4069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3616</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2078</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2000</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2105</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2000</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74000</w:t>
            </w:r>
            <w:r>
              <w:rPr>
                <w:rFonts w:ascii="Asana" w:hAnsi="Asana" w:cs="Asana"/>
                <w:b w:val="0"/>
                <w:bCs w:val="0"/>
                <w:i w:val="0"/>
                <w:iCs w:val="0"/>
                <w:sz w:val="16"/>
                <w:szCs w:val="16"/>
              </w:rPr>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g.1991</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8457</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7995</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8025</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7624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7589</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7076</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6896</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6436</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5103</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3743</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4110</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3757</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3242</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2004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1205</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1671</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0</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0</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85249</w:t>
            </w:r>
            <w:r>
              <w:rPr>
                <w:rFonts w:ascii="Asana" w:hAnsi="Asana" w:cs="Asana"/>
                <w:b w:val="0"/>
                <w:bCs w:val="0"/>
                <w:i w:val="0"/>
                <w:iCs w:val="0"/>
                <w:sz w:val="16"/>
                <w:szCs w:val="16"/>
              </w:rPr>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g.2002</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6861</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6960</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7398</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7457</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7065</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6552</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6085</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5952</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6098</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5782</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4545</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3454</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3420</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3148</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2358</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1138</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Open Sans" w:cs="Asana"/>
                <w:b w:val="0"/>
                <w:bCs w:val="0"/>
                <w:i w:val="0"/>
                <w:iCs w:val="0"/>
                <w:color w:val="000000"/>
                <w:sz w:val="16"/>
                <w:szCs w:val="16"/>
              </w:rPr>
              <w:t xml:space="preserve">776</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0</w:t>
            </w:r>
            <w:r>
              <w:rPr>
                <w:rFonts w:ascii="Asana" w:hAnsi="Asana" w:cs="Asana"/>
                <w:b w:val="0"/>
                <w:bCs w:val="0"/>
                <w:i w:val="0"/>
                <w:iCs w:val="0"/>
                <w:sz w:val="16"/>
                <w:szCs w:val="16"/>
              </w:rPr>
            </w:r>
            <w:r/>
          </w:p>
        </w:tc>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96260</w:t>
            </w:r>
            <w:r>
              <w:rPr>
                <w:rFonts w:ascii="Asana" w:hAnsi="Asana" w:cs="Asana"/>
                <w:b w:val="0"/>
                <w:bCs w:val="0"/>
                <w:i w:val="0"/>
                <w:iCs w:val="0"/>
                <w:sz w:val="16"/>
                <w:szCs w:val="16"/>
              </w:rPr>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g.2011</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8271</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8799</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7730</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7426</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7879</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7780</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7587</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6902</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6545</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6229</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6149</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5751</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4487</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3010</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2698</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1858</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939</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370</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638"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Times New Roman" w:cs="Asana"/>
                <w:b w:val="0"/>
                <w:bCs w:val="0"/>
                <w:i w:val="0"/>
                <w:iCs w:val="0"/>
                <w:color w:val="000000"/>
                <w:sz w:val="16"/>
                <w:szCs w:val="16"/>
              </w:rPr>
              <w:t xml:space="preserve">100410</w:t>
            </w:r>
            <w:r>
              <w:rPr>
                <w:rFonts w:ascii="Asana" w:hAnsi="Asana" w:cs="Asana"/>
                <w:b w:val="0"/>
                <w:bCs w:val="0"/>
                <w:i w:val="0"/>
                <w:iCs w:val="0"/>
                <w:sz w:val="16"/>
                <w:szCs w:val="16"/>
              </w:rPr>
            </w:r>
            <w:r/>
          </w:p>
        </w:tc>
      </w:tr>
      <w:tr>
        <w:trPr>
          <w:trHeight w:val="285"/>
        </w:trPr>
        <w:tc>
          <w:tcPr>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1084" w:type="dxa"/>
            <w:vAlign w:val="bottom"/>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Calibri" w:cs="Asana"/>
                <w:b w:val="0"/>
                <w:bCs w:val="0"/>
                <w:i w:val="0"/>
                <w:iCs w:val="0"/>
                <w:color w:val="000000"/>
                <w:sz w:val="16"/>
                <w:szCs w:val="16"/>
              </w:rPr>
              <w:t xml:space="preserve">g.2022</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7828</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7377</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7438</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8217</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7492</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7302</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7559</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7386</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7084</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6977</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6616</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6304</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6070</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5243</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3712</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397"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2175</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638"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1267</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638"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673</w:t>
            </w:r>
            <w:r>
              <w:rPr>
                <w:rFonts w:ascii="Asana" w:hAnsi="Asana" w:cs="Asana"/>
                <w:b w:val="0"/>
                <w:bCs w:val="0"/>
                <w:i w:val="0"/>
                <w:iCs w:val="0"/>
                <w:sz w:val="16"/>
                <w:szCs w:val="16"/>
              </w:rPr>
            </w:r>
            <w:r/>
          </w:p>
        </w:tc>
        <w:tc>
          <w:tcPr>
            <w:tcBorders>
              <w:top w:val="single" w:color="CCCCCC" w:sz="6" w:space="0"/>
              <w:left w:val="single" w:color="CCCCCC" w:sz="6" w:space="0"/>
              <w:bottom w:val="single" w:color="BFBFBF" w:sz="6" w:space="0"/>
              <w:right w:val="single" w:color="CCCCCC" w:sz="6" w:space="0"/>
            </w:tcBorders>
            <w:tcMar>
              <w:left w:w="45" w:type="dxa"/>
              <w:top w:w="0" w:type="dxa"/>
              <w:right w:w="45" w:type="dxa"/>
              <w:bottom w:w="0" w:type="dxa"/>
            </w:tcMar>
            <w:tcW w:w="638" w:type="dxa"/>
            <w:vAlign w:val="center"/>
            <w:textDirection w:val="lrTb"/>
            <w:noWrap w:val="false"/>
          </w:tcPr>
          <w:p>
            <w:pPr>
              <w:jc w:val="center"/>
              <w:spacing w:before="0" w:after="0" w:line="57" w:lineRule="atLeast"/>
              <w:rPr>
                <w:rFonts w:ascii="Asana" w:hAnsi="Asana" w:cs="Asana"/>
                <w:b w:val="0"/>
                <w:bCs w:val="0"/>
                <w:i w:val="0"/>
                <w:sz w:val="16"/>
                <w:szCs w:val="16"/>
              </w:rPr>
            </w:pPr>
            <w:r>
              <w:rPr>
                <w:rFonts w:ascii="Asana" w:hAnsi="Asana" w:eastAsia="Arial Narrow" w:cs="Asana"/>
                <w:b w:val="0"/>
                <w:bCs w:val="0"/>
                <w:i w:val="0"/>
                <w:iCs w:val="0"/>
                <w:color w:val="000000"/>
                <w:sz w:val="16"/>
                <w:szCs w:val="16"/>
              </w:rPr>
              <w:t xml:space="preserve">106720</w:t>
            </w:r>
            <w:r>
              <w:rPr>
                <w:rFonts w:ascii="Asana" w:hAnsi="Asana" w:cs="Asana"/>
                <w:b w:val="0"/>
                <w:bCs w:val="0"/>
                <w:i w:val="0"/>
                <w:iCs w:val="0"/>
                <w:sz w:val="16"/>
                <w:szCs w:val="16"/>
              </w:rPr>
            </w:r>
            <w:r/>
          </w:p>
        </w:tc>
      </w:tr>
      <w:tr>
        <w:trPr>
          <w:trHeight w:val="285"/>
        </w:trPr>
        <w:tc>
          <w:tcPr>
            <w:gridSpan w:val="20"/>
            <w:tcBorders>
              <w:top w:val="single" w:color="CCCCCC" w:sz="6" w:space="0"/>
              <w:left w:val="single" w:color="CCCCCC" w:sz="6" w:space="0"/>
              <w:bottom w:val="single" w:color="CCCCCC" w:sz="6" w:space="0"/>
              <w:right w:val="single" w:color="CCCCCC" w:sz="6" w:space="0"/>
            </w:tcBorders>
            <w:tcMar>
              <w:left w:w="45" w:type="dxa"/>
              <w:top w:w="0" w:type="dxa"/>
              <w:right w:w="45" w:type="dxa"/>
              <w:bottom w:w="0" w:type="dxa"/>
            </w:tcMar>
            <w:tcW w:w="9355" w:type="dxa"/>
            <w:vAlign w:val="bottom"/>
            <w:vMerge w:val="restart"/>
            <w:textDirection w:val="lrTb"/>
            <w:noWrap w:val="false"/>
          </w:tcPr>
          <w:p>
            <w:pPr>
              <w:jc w:val="center"/>
              <w:spacing w:before="0" w:after="0" w:line="57" w:lineRule="atLeast"/>
              <w:rPr>
                <w:rFonts w:ascii="Asana" w:hAnsi="Asana" w:eastAsia="Arial Narrow" w:cs="Asana"/>
                <w:b w:val="0"/>
                <w:bCs w:val="0"/>
                <w:i w:val="0"/>
                <w:iCs w:val="0"/>
                <w:color w:val="000000"/>
                <w:sz w:val="16"/>
                <w:szCs w:val="16"/>
              </w:rPr>
            </w:pPr>
            <w:r>
              <w:rPr>
                <w:rFonts w:ascii="Asana" w:hAnsi="Asana" w:eastAsia="Arial Narrow" w:cs="Asana"/>
                <w:b w:val="0"/>
                <w:bCs w:val="0"/>
                <w:i w:val="0"/>
                <w:iCs w:val="0"/>
                <w:color w:val="000000"/>
                <w:sz w:val="16"/>
                <w:szCs w:val="16"/>
              </w:rPr>
              <w:t xml:space="preserve">Tabela 2. – Starosna struktura stanovnika zabeležena u popisima</w:t>
            </w:r>
            <w:r>
              <w:rPr>
                <w:rFonts w:ascii="Asana" w:hAnsi="Asana" w:eastAsia="Arial Narrow" w:cs="Asana"/>
                <w:b w:val="0"/>
                <w:bCs w:val="0"/>
                <w:i w:val="0"/>
                <w:iCs w:val="0"/>
                <w:color w:val="000000"/>
                <w:sz w:val="16"/>
                <w:szCs w:val="16"/>
              </w:rPr>
            </w:r>
            <w:r/>
          </w:p>
        </w:tc>
      </w:tr>
    </w:tbl>
    <w:p>
      <w:pPr>
        <w:jc w:val="left"/>
        <w:rPr>
          <w:highlight w:val="none"/>
        </w:rPr>
      </w:pPr>
      <w:r>
        <w:rPr>
          <w:highlight w:val="none"/>
        </w:rPr>
      </w:r>
      <w:r>
        <w:rPr>
          <w:highlight w:val="none"/>
        </w:rPr>
      </w:r>
      <w:r/>
    </w:p>
    <w:p>
      <w:pPr>
        <w:jc w:val="left"/>
        <w:rPr>
          <w:highlight w:val="none"/>
        </w:rPr>
      </w:pPr>
      <w:r>
        <w:rPr>
          <w:highlight w:val="none"/>
        </w:rPr>
      </w:r>
      <w:r>
        <w:rPr>
          <w:highlight w:val="none"/>
        </w:rPr>
      </w:r>
      <w:r/>
    </w:p>
    <w:p>
      <w:pPr>
        <w:jc w:val="left"/>
        <w:rPr>
          <w:highlight w:val="none"/>
        </w:rPr>
      </w:pPr>
      <w:r>
        <w:rPr>
          <w:highlight w:val="none"/>
        </w:rPr>
      </w:r>
      <w:r>
        <w:rPr>
          <w:highlight w:val="none"/>
        </w:rPr>
      </w:r>
      <w:r/>
    </w:p>
    <w:p>
      <w:pPr>
        <w:jc w:val="left"/>
        <w:rPr>
          <w:highlight w:val="none"/>
        </w:rPr>
      </w:pPr>
      <w:r>
        <w:rPr>
          <w:highlight w:val="none"/>
        </w:rPr>
      </w:r>
      <w:r>
        <w:rPr>
          <w:highlight w:val="none"/>
        </w:rPr>
      </w:r>
      <w:r/>
    </w:p>
    <w:p>
      <w:pPr>
        <w:jc w:val="left"/>
        <w:rPr>
          <w:highlight w:val="none"/>
        </w:rPr>
      </w:pPr>
      <w:r>
        <w:rPr>
          <w:highlight w:val="none"/>
        </w:rPr>
      </w:r>
      <w:r>
        <w:rPr>
          <w:highlight w:val="none"/>
        </w:rPr>
      </w:r>
      <w:r/>
    </w:p>
    <w:p>
      <w:pPr>
        <w:jc w:val="left"/>
        <w:rPr>
          <w:highlight w:val="none"/>
        </w:rPr>
      </w:pPr>
      <w:r>
        <w:rPr>
          <w:highlight w:val="none"/>
        </w:rPr>
      </w:r>
      <w:r>
        <w:rPr>
          <w:highlight w:val="none"/>
        </w:rPr>
      </w:r>
      <w:r/>
    </w:p>
    <w:p>
      <w:pPr>
        <w:jc w:val="left"/>
        <w:rPr>
          <w:highlight w:val="none"/>
        </w:rPr>
      </w:pPr>
      <w:r>
        <w:rPr>
          <w:highlight w:val="none"/>
        </w:rPr>
      </w:r>
      <w:r>
        <w:rPr>
          <w:highlight w:val="none"/>
        </w:rPr>
      </w:r>
      <w:r/>
    </w:p>
    <w:p>
      <w:pPr>
        <w:jc w:val="left"/>
        <w:rPr>
          <w:highlight w:val="none"/>
        </w:rPr>
      </w:pPr>
      <w:r>
        <w:rPr>
          <w:highlight w:val="none"/>
        </w:rPr>
        <w:t xml:space="preserve">Na osnovu ove tabele može se kreirati grafik koji pokazuje kretanje pojedinih starosnih grupa kroz popise za koje postoje javno dostupni podaci:</w:t>
      </w:r>
      <w:r>
        <w:rPr>
          <w:highlight w:val="none"/>
        </w:rPr>
      </w:r>
      <w:r/>
    </w:p>
    <w:p>
      <w:pPr>
        <w:jc w:val="center"/>
        <w:rPr>
          <w:highlight w:val="none"/>
        </w:rPr>
      </w:pPr>
      <w:r>
        <w:rPr>
          <w:highlight w:val="none"/>
        </w:rPr>
      </w:r>
      <w:r>
        <mc:AlternateContent>
          <mc:Choice Requires="wpg">
            <w:drawing>
              <wp:inline xmlns:wp="http://schemas.openxmlformats.org/drawingml/2006/wordprocessingDrawing" distT="0" distB="0" distL="0" distR="0">
                <wp:extent cx="5004168" cy="3094244"/>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8367" name=""/>
                        <pic:cNvPicPr>
                          <a:picLocks noChangeAspect="1"/>
                        </pic:cNvPicPr>
                        <pic:nvPr/>
                      </pic:nvPicPr>
                      <pic:blipFill>
                        <a:blip r:embed="rId12"/>
                        <a:stretch/>
                      </pic:blipFill>
                      <pic:spPr bwMode="auto">
                        <a:xfrm flipH="0" flipV="0">
                          <a:off x="0" y="0"/>
                          <a:ext cx="5004168" cy="309424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394.0pt;height:243.6pt;mso-wrap-distance-left:0.0pt;mso-wrap-distance-top:0.0pt;mso-wrap-distance-right:0.0pt;mso-wrap-distance-bottom:0.0pt;" stroked="false">
                <v:path textboxrect="0,0,0,0"/>
                <v:imagedata r:id="rId12" o:title=""/>
              </v:shape>
            </w:pict>
          </mc:Fallback>
        </mc:AlternateContent>
      </w:r>
      <w:r>
        <w:rPr>
          <w:highlight w:val="none"/>
        </w:rPr>
      </w:r>
      <w:r/>
    </w:p>
    <w:p>
      <w:pPr>
        <w:pStyle w:val="734"/>
        <w:contextualSpacing w:val="0"/>
        <w:ind w:left="0"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rPr>
        <w:t xml:space="preserve">1. Opšti demografski trendovi:</w:t>
      </w:r>
      <w:r/>
    </w:p>
    <w:p>
      <w:pPr>
        <w:contextualSpacing w:val="0"/>
        <w:ind w:left="0" w:right="0" w:firstLine="0"/>
        <w:jc w:val="both"/>
        <w:spacing w:before="0" w:after="0" w:line="283" w:lineRule="atLeast"/>
        <w:rPr>
          <w:rFonts w:ascii="Times New Roman" w:hAnsi="Times New Roman" w:eastAsia="Times New Roman" w:cs="Times New Roman"/>
          <w:b/>
          <w:bCs/>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highlight w:val="none"/>
        </w:rPr>
      </w:r>
      <w:r>
        <w:rPr>
          <w:rFonts w:ascii="Times New Roman" w:hAnsi="Times New Roman" w:eastAsia="Times New Roman" w:cs="Times New Roman"/>
          <w:b/>
          <w:color w:val="000000"/>
          <w:sz w:val="24"/>
          <w:highlight w:val="none"/>
        </w:rPr>
      </w:r>
      <w:r/>
    </w:p>
    <w:p>
      <w:pPr>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rPr>
        <w:t xml:space="preserve">Pad broja dece (0–4 i 5–9 godina):</w:t>
      </w:r>
      <w:r>
        <w:rPr>
          <w:rFonts w:ascii="Times New Roman" w:hAnsi="Times New Roman" w:eastAsia="Times New Roman" w:cs="Times New Roman"/>
          <w:sz w:val="24"/>
          <w:szCs w:val="24"/>
        </w:rPr>
      </w:r>
      <w:r/>
    </w:p>
    <w:p>
      <w:pPr>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rPr>
      </w:r>
      <w:r>
        <w:rPr>
          <w:rFonts w:ascii="Times New Roman" w:hAnsi="Times New Roman" w:eastAsia="Times New Roman" w:cs="Times New Roman"/>
          <w:color w:val="000000"/>
          <w:sz w:val="24"/>
          <w:szCs w:val="24"/>
        </w:rPr>
        <w:t xml:space="preserve">Broj dece u najmlađim starosnim grupama (0–4 i 5–9 godina) pokazuje opadanje u poslednjim decenijama. Na primer, grupa 0–4 godine ima manje stanovnika 2022. godine (7828) u poređenju sa 1981. godinom (7766). Ovo može ukazivati na smanjenje nataliteta.</w:t>
      </w:r>
      <w:r>
        <w:rPr>
          <w:sz w:val="24"/>
          <w:szCs w:val="24"/>
        </w:rPr>
      </w:r>
      <w:r/>
    </w:p>
    <w:p>
      <w:pPr>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r/>
    </w:p>
    <w:p>
      <w:pPr>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rPr>
        <w:t xml:space="preserve">Povećanje srednje i starije populacije:</w:t>
      </w:r>
      <w:r>
        <w:rPr>
          <w:sz w:val="24"/>
          <w:szCs w:val="24"/>
        </w:rPr>
      </w:r>
      <w:r/>
    </w:p>
    <w:p>
      <w:pPr>
        <w:contextualSpacing w:val="0"/>
        <w:ind w:left="0" w:right="0" w:firstLine="0"/>
        <w:jc w:val="both"/>
        <w:spacing w:before="0" w:after="0" w:line="283" w:lineRule="atLeast"/>
        <w:rPr>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Starosne grupe od 50 godina pa naviše beleže rast tokom godina, što ukazuje na trend starenja stanovništva. Na primer, grupa 65–69 godina značajno je porasla u 2022. godini u poređenju s ranijim popisima.</w:t>
      </w:r>
      <w:r>
        <w:rPr>
          <w:sz w:val="24"/>
          <w:szCs w:val="24"/>
        </w:rPr>
      </w:r>
      <w:r/>
    </w:p>
    <w:p>
      <w:pPr>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r/>
    </w:p>
    <w:p>
      <w:pPr>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rPr>
        <w:t xml:space="preserve">Populacija radno sposobnog stanovništva (15–64 godine):</w:t>
      </w:r>
      <w:r>
        <w:rPr>
          <w:sz w:val="24"/>
          <w:szCs w:val="24"/>
        </w:rPr>
      </w:r>
      <w:r/>
    </w:p>
    <w:p>
      <w:pPr>
        <w:contextualSpacing w:val="0"/>
        <w:ind w:left="0" w:right="0" w:firstLine="0"/>
        <w:jc w:val="both"/>
        <w:spacing w:before="0" w:after="0" w:line="283" w:lineRule="atLeast"/>
        <w:rPr>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Broj stanovnika u radno sposobnoj dobi (od 15 do 64 godine) generalno je stabilan, ali postoje fluktuacije. Na primer, grupa od 25–29 godina ima manji broj u 2022. godini (7302) nego u 2011. godini (7780), što može ukazivati na migracione procese ili manju</w:t>
      </w:r>
      <w:r>
        <w:rPr>
          <w:rFonts w:ascii="Times New Roman" w:hAnsi="Times New Roman" w:eastAsia="Times New Roman" w:cs="Times New Roman"/>
          <w:color w:val="000000"/>
          <w:sz w:val="24"/>
          <w:szCs w:val="24"/>
        </w:rPr>
        <w:t xml:space="preserve"> generaciju.</w:t>
      </w:r>
      <w:r>
        <w:rPr>
          <w:sz w:val="24"/>
          <w:szCs w:val="24"/>
        </w:rPr>
      </w:r>
      <w:r/>
    </w:p>
    <w:p>
      <w:pPr>
        <w:pStyle w:val="734"/>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r/>
    </w:p>
    <w:p>
      <w:pPr>
        <w:pStyle w:val="734"/>
        <w:contextualSpacing w:val="0"/>
        <w:ind w:left="0" w:right="0" w:firstLine="0"/>
        <w:jc w:val="both"/>
        <w:spacing w:before="0" w:after="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szCs w:val="28"/>
        </w:rPr>
        <w:t xml:space="preserve">2. Specifične promene po grupama i decenijama:</w:t>
      </w:r>
      <w:r>
        <w:rPr>
          <w:sz w:val="28"/>
          <w:szCs w:val="28"/>
        </w:rPr>
      </w:r>
      <w:r/>
    </w:p>
    <w:p>
      <w:pPr>
        <w:pStyle w:val="736"/>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r/>
    </w:p>
    <w:p>
      <w:pPr>
        <w:pStyle w:val="736"/>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rPr>
        <w:t xml:space="preserve">Popis 1981–1991:</w:t>
      </w:r>
      <w:r>
        <w:rPr>
          <w:sz w:val="24"/>
          <w:szCs w:val="24"/>
        </w:rPr>
      </w:r>
      <w:r/>
    </w:p>
    <w:p>
      <w:pPr>
        <w:contextualSpacing w:val="0"/>
        <w:ind w:left="0" w:right="0" w:firstLine="0"/>
        <w:jc w:val="both"/>
        <w:spacing w:before="0" w:after="0" w:line="283" w:lineRule="atLeast"/>
        <w:rPr>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Primećuje se veći broj mladih u starosnim grupama 0–4 i 5–9 godina. Grupa radno sposobnih stanovnika (20–39 godina) ima relativno stabilan broj, ali je već tada prisutan niži broj u starijim grupama (npr. 65+ godina), što odražava mladost populacije u tom </w:t>
      </w:r>
      <w:r>
        <w:rPr>
          <w:rFonts w:ascii="Times New Roman" w:hAnsi="Times New Roman" w:eastAsia="Times New Roman" w:cs="Times New Roman"/>
          <w:color w:val="000000"/>
          <w:sz w:val="24"/>
          <w:szCs w:val="24"/>
        </w:rPr>
        <w:t xml:space="preserve">periodu.</w:t>
      </w:r>
      <w:r>
        <w:rPr>
          <w:sz w:val="24"/>
          <w:szCs w:val="24"/>
        </w:rPr>
      </w:r>
      <w:r/>
    </w:p>
    <w:p>
      <w:pPr>
        <w:pStyle w:val="736"/>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r/>
    </w:p>
    <w:p>
      <w:pPr>
        <w:pStyle w:val="736"/>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rPr>
        <w:t xml:space="preserve">Popis 1991–2011:</w:t>
      </w:r>
      <w:r>
        <w:rPr>
          <w:sz w:val="24"/>
          <w:szCs w:val="24"/>
        </w:rPr>
      </w:r>
      <w:r/>
    </w:p>
    <w:p>
      <w:pPr>
        <w:contextualSpacing w:val="0"/>
        <w:ind w:left="0" w:right="0" w:firstLine="0"/>
        <w:jc w:val="both"/>
        <w:spacing w:before="0" w:after="0" w:line="283" w:lineRule="atLeast"/>
        <w:rPr>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Uočava se značajan pad u grupama 0–14 godina, što može ukazivati na pad nataliteta i efekat migracija, naročito tokom turbulentnih devedesetih godina. Istovremeno, grupe 50+ godina beleže rast, što je posledica demografskog starenja.</w:t>
      </w:r>
      <w:r>
        <w:rPr>
          <w:sz w:val="24"/>
          <w:szCs w:val="24"/>
        </w:rPr>
      </w:r>
      <w:r/>
    </w:p>
    <w:p>
      <w:pPr>
        <w:pStyle w:val="736"/>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r/>
    </w:p>
    <w:p>
      <w:pPr>
        <w:pStyle w:val="736"/>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rPr>
        <w:t xml:space="preserve">Popis 2011–2022:</w:t>
      </w:r>
      <w:r>
        <w:rPr>
          <w:sz w:val="24"/>
          <w:szCs w:val="24"/>
        </w:rPr>
      </w:r>
      <w:r/>
    </w:p>
    <w:p>
      <w:pPr>
        <w:contextualSpacing w:val="0"/>
        <w:ind w:left="0" w:right="0" w:firstLine="0"/>
        <w:jc w:val="both"/>
        <w:spacing w:before="0" w:after="0" w:line="283" w:lineRule="atLeast"/>
        <w:rPr>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Grupa od 0–14 godina blago opada, dok grupe iznad 60 godina beleže snažan porast. Na primer, grupa 65–69 godina ima 5243 stanovnika 2022. godine, dok je 2011. imala 3010. Ovo pokazuje produženje životnog veka i starenje populacije.</w:t>
      </w:r>
      <w:r>
        <w:rPr>
          <w:sz w:val="24"/>
          <w:szCs w:val="24"/>
        </w:rPr>
      </w:r>
      <w:r/>
    </w:p>
    <w:p>
      <w:pPr>
        <w:pStyle w:val="734"/>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highlight w:val="none"/>
        </w:rPr>
      </w:r>
      <w:r>
        <w:rPr>
          <w:rFonts w:ascii="Times New Roman" w:hAnsi="Times New Roman" w:eastAsia="Times New Roman" w:cs="Times New Roman"/>
          <w:b/>
          <w:color w:val="000000"/>
          <w:sz w:val="24"/>
          <w:szCs w:val="24"/>
          <w:highlight w:val="none"/>
        </w:rPr>
      </w:r>
      <w:r/>
    </w:p>
    <w:p>
      <w:pPr>
        <w:pStyle w:val="734"/>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szCs w:val="24"/>
        </w:rPr>
        <w:t xml:space="preserve">Migracije:</w:t>
      </w:r>
      <w:r>
        <w:rPr>
          <w:sz w:val="24"/>
          <w:szCs w:val="24"/>
        </w:rPr>
      </w:r>
      <w:r/>
    </w:p>
    <w:p>
      <w:pPr>
        <w:contextualSpacing w:val="0"/>
        <w:ind w:left="0" w:right="0" w:firstLine="0"/>
        <w:jc w:val="both"/>
        <w:spacing w:before="0" w:after="0" w:line="283" w:lineRule="atLeast"/>
        <w:rPr>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szCs w:val="24"/>
        </w:rPr>
        <w:t xml:space="preserve">Primećuje se smanjenje u nekim radno sposobnim grupama (npr. 25–29 i 30–34 godine). Ovo može ukazivati na migracije, naročito radno sposobnog stanovništva ka inostranstvu ili većim gradovima u potrazi za poslom.</w:t>
      </w:r>
      <w:r>
        <w:rPr>
          <w:sz w:val="24"/>
          <w:szCs w:val="24"/>
        </w:rPr>
      </w:r>
      <w:r/>
    </w:p>
    <w:p>
      <w:pPr>
        <w:contextualSpacing w:val="0"/>
        <w:ind w:left="0"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sz w:val="24"/>
          <w:szCs w:val="24"/>
          <w:highlight w:val="none"/>
        </w:rPr>
      </w:r>
      <w:r>
        <w:rPr>
          <w:sz w:val="24"/>
          <w:szCs w:val="24"/>
          <w:highlight w:val="none"/>
        </w:rPr>
      </w:r>
      <w:r/>
    </w:p>
    <w:p>
      <w:pPr>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p>
    <w:p>
      <w:pPr>
        <w:pStyle w:val="734"/>
        <w:contextualSpacing w:val="0"/>
        <w:ind w:left="0" w:right="0" w:firstLine="0"/>
        <w:jc w:val="both"/>
        <w:spacing w:before="0" w:after="0" w:line="283" w:lineRule="atLeast"/>
        <w:rPr>
          <w:rFonts w:ascii="Times New Roman" w:hAnsi="Times New Roman" w:eastAsia="Times New Roman" w:cs="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rPr>
        <w:t xml:space="preserve">3. Očekivanja u budućnosti</w:t>
      </w:r>
      <w:r>
        <w:rPr>
          <w:rFonts w:ascii="Times New Roman" w:hAnsi="Times New Roman" w:eastAsia="Times New Roman" w:cs="Times New Roman"/>
          <w:b/>
          <w:color w:val="000000"/>
          <w:sz w:val="28"/>
        </w:rPr>
        <w:t xml:space="preserve">:</w:t>
      </w:r>
      <w:r>
        <w:rPr>
          <w:rFonts w:ascii="Times New Roman" w:hAnsi="Times New Roman" w:eastAsia="Times New Roman" w:cs="Times New Roman"/>
          <w:b/>
          <w:bCs/>
          <w:color w:val="000000"/>
          <w:sz w:val="28"/>
          <w:szCs w:val="28"/>
          <w:highlight w:val="none"/>
        </w:rPr>
      </w:r>
      <w:r/>
    </w:p>
    <w:p>
      <w:pPr>
        <w:contextualSpacing w:val="0"/>
        <w:ind w:left="0" w:right="0" w:firstLine="0"/>
        <w:jc w:val="both"/>
        <w:spacing w:before="0" w:after="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highlight w:val="none"/>
        </w:rPr>
      </w:r>
      <w:r/>
    </w:p>
    <w:p>
      <w:pPr>
        <w:contextualSpacing w:val="0"/>
        <w:ind w:left="0" w:right="0" w:firstLine="0"/>
        <w:jc w:val="both"/>
        <w:spacing w:before="0" w:after="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Na osnovu ovih brojeva, jasno je da Novi Pazar beleži </w:t>
      </w:r>
      <w:r>
        <w:rPr>
          <w:rFonts w:ascii="Times New Roman" w:hAnsi="Times New Roman" w:eastAsia="Times New Roman" w:cs="Times New Roman"/>
          <w:b/>
          <w:color w:val="000000"/>
          <w:sz w:val="24"/>
        </w:rPr>
        <w:t xml:space="preserve">stalni porast ukupnog broja stanovnika</w:t>
      </w:r>
      <w:r>
        <w:rPr>
          <w:rFonts w:ascii="Times New Roman" w:hAnsi="Times New Roman" w:eastAsia="Times New Roman" w:cs="Times New Roman"/>
          <w:color w:val="000000"/>
          <w:sz w:val="24"/>
        </w:rPr>
        <w:t xml:space="preserve"> tokom vremena, bez obzira na demografske promene i opšte trendove smanjenja populacije u mnogim delovima Srbije. Hajde da analiziramo trendove i iznesemo predikcije za buduće </w:t>
      </w:r>
      <w:r>
        <w:rPr>
          <w:rFonts w:ascii="Times New Roman" w:hAnsi="Times New Roman" w:eastAsia="Times New Roman" w:cs="Times New Roman"/>
          <w:color w:val="000000"/>
          <w:sz w:val="24"/>
        </w:rPr>
        <w:t xml:space="preserve">godine.</w:t>
      </w:r>
      <w:r/>
    </w:p>
    <w:p>
      <w:pPr>
        <w:pStyle w:val="734"/>
        <w:contextualSpacing w:val="0"/>
        <w:ind w:left="0" w:right="0" w:firstLine="0"/>
        <w:jc w:val="both"/>
        <w:spacing w:before="0" w:after="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contextualSpacing w:val="0"/>
        <w:ind w:left="0"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Jasan porast populacije:</w:t>
      </w:r>
      <w:r/>
    </w:p>
    <w:p>
      <w:pPr>
        <w:pStyle w:val="910"/>
        <w:numPr>
          <w:ilvl w:val="0"/>
          <w:numId w:val="18"/>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Podaci ukazuju na </w:t>
      </w:r>
      <w:r>
        <w:rPr>
          <w:rFonts w:ascii="Times New Roman" w:hAnsi="Times New Roman" w:eastAsia="Times New Roman" w:cs="Times New Roman"/>
          <w:b/>
          <w:color w:val="000000"/>
          <w:sz w:val="24"/>
        </w:rPr>
        <w:t xml:space="preserve">stalni rast</w:t>
      </w:r>
      <w:r>
        <w:rPr>
          <w:rFonts w:ascii="Times New Roman" w:hAnsi="Times New Roman" w:eastAsia="Times New Roman" w:cs="Times New Roman"/>
          <w:color w:val="000000"/>
          <w:sz w:val="24"/>
        </w:rPr>
        <w:t xml:space="preserve"> broja stanovnika od 1948. godine do 2022. godine. Ovo je rezultat kombinacije:</w:t>
      </w:r>
      <w:r/>
    </w:p>
    <w:p>
      <w:pPr>
        <w:pStyle w:val="910"/>
        <w:numPr>
          <w:ilvl w:val="0"/>
          <w:numId w:val="19"/>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Visokog nataliteta</w:t>
      </w:r>
      <w:r>
        <w:rPr>
          <w:rFonts w:ascii="Times New Roman" w:hAnsi="Times New Roman" w:eastAsia="Times New Roman" w:cs="Times New Roman"/>
          <w:color w:val="000000"/>
          <w:sz w:val="24"/>
        </w:rPr>
        <w:t xml:space="preserve"> u prošlosti.</w:t>
      </w:r>
      <w:r/>
    </w:p>
    <w:p>
      <w:pPr>
        <w:pStyle w:val="910"/>
        <w:numPr>
          <w:ilvl w:val="0"/>
          <w:numId w:val="20"/>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Pozitivnog migracionog bilansa</w:t>
      </w:r>
      <w:r>
        <w:rPr>
          <w:rFonts w:ascii="Times New Roman" w:hAnsi="Times New Roman" w:eastAsia="Times New Roman" w:cs="Times New Roman"/>
          <w:color w:val="000000"/>
          <w:sz w:val="24"/>
        </w:rPr>
        <w:t xml:space="preserve">, jer Novi Pazar privlači stanovništvo iz okolnih ruralnih područja i inostranstva.</w:t>
      </w:r>
      <w:r/>
    </w:p>
    <w:p>
      <w:pPr>
        <w:pStyle w:val="910"/>
        <w:numPr>
          <w:ilvl w:val="0"/>
          <w:numId w:val="21"/>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Mlade populacije</w:t>
      </w:r>
      <w:r>
        <w:rPr>
          <w:rFonts w:ascii="Times New Roman" w:hAnsi="Times New Roman" w:eastAsia="Times New Roman" w:cs="Times New Roman"/>
          <w:color w:val="000000"/>
          <w:sz w:val="24"/>
        </w:rPr>
        <w:t xml:space="preserve">, što doprinosi kontinuiranom prirodnom priraštaju.</w:t>
      </w:r>
      <w:r/>
    </w:p>
    <w:p>
      <w:pPr>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highlight w:val="none"/>
        </w:rPr>
      </w:r>
      <w:r>
        <w:rPr>
          <w:rFonts w:ascii="Times New Roman" w:hAnsi="Times New Roman" w:eastAsia="Times New Roman" w:cs="Times New Roman"/>
          <w:b/>
          <w:color w:val="000000"/>
          <w:sz w:val="24"/>
          <w:highlight w:val="none"/>
        </w:rPr>
      </w:r>
      <w:r/>
    </w:p>
    <w:p>
      <w:pPr>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Ubrzanje rasta u drugoj polovini 20. veka:</w:t>
      </w:r>
      <w:r/>
    </w:p>
    <w:p>
      <w:pPr>
        <w:pStyle w:val="910"/>
        <w:numPr>
          <w:ilvl w:val="0"/>
          <w:numId w:val="23"/>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U periodu od 1948. do 1991. godine broj stanovnika se skoro </w:t>
      </w:r>
      <w:r>
        <w:rPr>
          <w:rFonts w:ascii="Times New Roman" w:hAnsi="Times New Roman" w:eastAsia="Times New Roman" w:cs="Times New Roman"/>
          <w:b/>
          <w:color w:val="000000"/>
          <w:sz w:val="24"/>
        </w:rPr>
        <w:t xml:space="preserve">udvostručio</w:t>
      </w:r>
      <w:r>
        <w:rPr>
          <w:rFonts w:ascii="Times New Roman" w:hAnsi="Times New Roman" w:eastAsia="Times New Roman" w:cs="Times New Roman"/>
          <w:color w:val="000000"/>
          <w:sz w:val="24"/>
        </w:rPr>
        <w:t xml:space="preserve"> (sa 44.020 na 85.249). Ovo odražava visok natalitet i intenzivnu urbanizaciju.</w:t>
      </w:r>
      <w:r/>
    </w:p>
    <w:p>
      <w:pPr>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highlight w:val="none"/>
        </w:rPr>
      </w:r>
      <w:r>
        <w:rPr>
          <w:rFonts w:ascii="Times New Roman" w:hAnsi="Times New Roman" w:eastAsia="Times New Roman" w:cs="Times New Roman"/>
          <w:b/>
          <w:color w:val="000000"/>
          <w:sz w:val="24"/>
          <w:highlight w:val="none"/>
        </w:rPr>
      </w:r>
      <w:r/>
    </w:p>
    <w:p>
      <w:pPr>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Rast u 21. veku:</w:t>
      </w:r>
      <w:r/>
    </w:p>
    <w:p>
      <w:pPr>
        <w:pStyle w:val="910"/>
        <w:numPr>
          <w:ilvl w:val="0"/>
          <w:numId w:val="25"/>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Broj stanovnika nastavlja da raste, ali nešto sporijim tempom:</w:t>
      </w:r>
      <w:r/>
    </w:p>
    <w:p>
      <w:pPr>
        <w:pStyle w:val="910"/>
        <w:numPr>
          <w:ilvl w:val="0"/>
          <w:numId w:val="26"/>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1991–2002: Porast za 11.011 stanovnika (13% za 11 godina).</w:t>
      </w:r>
      <w:r/>
    </w:p>
    <w:p>
      <w:pPr>
        <w:pStyle w:val="910"/>
        <w:numPr>
          <w:ilvl w:val="0"/>
          <w:numId w:val="27"/>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2002–2011: Porast za 4.150 stanovnika (4,3% za 9 godina).</w:t>
      </w:r>
      <w:r/>
    </w:p>
    <w:p>
      <w:pPr>
        <w:pStyle w:val="910"/>
        <w:numPr>
          <w:ilvl w:val="0"/>
          <w:numId w:val="28"/>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2011–2022: Porast za 6.310 stanovnika (6,3% za 11 godina).</w:t>
      </w:r>
      <w:r/>
    </w:p>
    <w:p>
      <w:pPr>
        <w:pStyle w:val="734"/>
        <w:contextualSpacing w:val="0"/>
        <w:ind w:left="0" w:right="0" w:firstLine="0"/>
        <w:jc w:val="both"/>
        <w:spacing w:before="0" w:after="0" w:line="283"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pStyle w:val="734"/>
        <w:contextualSpacing w:val="0"/>
        <w:ind w:left="0" w:right="0" w:firstLine="0"/>
        <w:jc w:val="both"/>
        <w:spacing w:before="0" w:after="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rPr>
        <w:t xml:space="preserve">4. Statističke predikcije za 2031, 2041 i 2051:</w:t>
      </w:r>
      <w:r/>
    </w:p>
    <w:p>
      <w:pPr>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highlight w:val="none"/>
        </w:rPr>
      </w:r>
      <w:r/>
    </w:p>
    <w:p>
      <w:pPr>
        <w:contextualSpacing w:val="0"/>
        <w:ind w:left="0" w:right="0" w:firstLine="0"/>
        <w:jc w:val="both"/>
        <w:spacing w:before="0" w:after="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Koristiću </w:t>
      </w:r>
      <w:r>
        <w:rPr>
          <w:rFonts w:ascii="Times New Roman" w:hAnsi="Times New Roman" w:eastAsia="Times New Roman" w:cs="Times New Roman"/>
          <w:b/>
          <w:color w:val="000000"/>
          <w:sz w:val="24"/>
        </w:rPr>
        <w:t xml:space="preserve">linearni trend</w:t>
      </w:r>
      <w:r>
        <w:rPr>
          <w:rFonts w:ascii="Times New Roman" w:hAnsi="Times New Roman" w:eastAsia="Times New Roman" w:cs="Times New Roman"/>
          <w:color w:val="000000"/>
          <w:sz w:val="24"/>
        </w:rPr>
        <w:t xml:space="preserve"> za predikciju broja stanovnika, baziran na prosečnom godišnjem rastu iz proteklih decenija.</w:t>
      </w:r>
      <w:r/>
    </w:p>
    <w:p>
      <w:pPr>
        <w:pStyle w:val="736"/>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highlight w:val="none"/>
        </w:rPr>
      </w:r>
      <w:r>
        <w:rPr>
          <w:rFonts w:ascii="Times New Roman" w:hAnsi="Times New Roman" w:eastAsia="Times New Roman" w:cs="Times New Roman"/>
          <w:b/>
          <w:color w:val="000000"/>
          <w:sz w:val="24"/>
          <w:highlight w:val="none"/>
        </w:rPr>
      </w:r>
      <w:r/>
    </w:p>
    <w:p>
      <w:pPr>
        <w:pStyle w:val="736"/>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Metod izračunavanja prosečnog godišnjeg rasta:</w:t>
      </w:r>
      <w:r/>
    </w:p>
    <w:p>
      <w:pPr>
        <w:pStyle w:val="910"/>
        <w:numPr>
          <w:ilvl w:val="0"/>
          <w:numId w:val="29"/>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Izračunavanje prosečnog rasta između popisa:</w:t>
      </w:r>
      <w:r/>
    </w:p>
    <w:p>
      <w:pPr>
        <w:pStyle w:val="910"/>
        <w:numPr>
          <w:ilvl w:val="0"/>
          <w:numId w:val="30"/>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2011–2022:</w:t>
      </w:r>
      <w:r>
        <w:rPr>
          <w:rFonts w:ascii="Times New Roman" w:hAnsi="Times New Roman" w:eastAsia="Times New Roman" w:cs="Times New Roman"/>
          <w:color w:val="000000"/>
          <w:sz w:val="24"/>
        </w:rPr>
        <w:t xml:space="preserve"> (106.720 - 100.410) / 11 godina = </w:t>
      </w:r>
      <w:r>
        <w:rPr>
          <w:rFonts w:ascii="Times New Roman" w:hAnsi="Times New Roman" w:eastAsia="Times New Roman" w:cs="Times New Roman"/>
          <w:b/>
          <w:color w:val="000000"/>
          <w:sz w:val="24"/>
        </w:rPr>
        <w:t xml:space="preserve">574 stanovnika/god.</w:t>
      </w:r>
      <w:r/>
    </w:p>
    <w:p>
      <w:pPr>
        <w:pStyle w:val="910"/>
        <w:numPr>
          <w:ilvl w:val="0"/>
          <w:numId w:val="31"/>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2002–2011:</w:t>
      </w:r>
      <w:r>
        <w:rPr>
          <w:rFonts w:ascii="Times New Roman" w:hAnsi="Times New Roman" w:eastAsia="Times New Roman" w:cs="Times New Roman"/>
          <w:color w:val="000000"/>
          <w:sz w:val="24"/>
        </w:rPr>
        <w:t xml:space="preserve"> (100.410 - 96.260) / 9 godina = </w:t>
      </w:r>
      <w:r>
        <w:rPr>
          <w:rFonts w:ascii="Times New Roman" w:hAnsi="Times New Roman" w:eastAsia="Times New Roman" w:cs="Times New Roman"/>
          <w:b/>
          <w:color w:val="000000"/>
          <w:sz w:val="24"/>
        </w:rPr>
        <w:t xml:space="preserve">462 stanovnika/god.</w:t>
      </w:r>
      <w:r/>
    </w:p>
    <w:p>
      <w:pPr>
        <w:pStyle w:val="910"/>
        <w:numPr>
          <w:ilvl w:val="0"/>
          <w:numId w:val="32"/>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1991–2002:</w:t>
      </w:r>
      <w:r>
        <w:rPr>
          <w:rFonts w:ascii="Times New Roman" w:hAnsi="Times New Roman" w:eastAsia="Times New Roman" w:cs="Times New Roman"/>
          <w:color w:val="000000"/>
          <w:sz w:val="24"/>
        </w:rPr>
        <w:t xml:space="preserve"> (96.260 - 85.249) / 11 godina = </w:t>
      </w:r>
      <w:r>
        <w:rPr>
          <w:rFonts w:ascii="Times New Roman" w:hAnsi="Times New Roman" w:eastAsia="Times New Roman" w:cs="Times New Roman"/>
          <w:b/>
          <w:color w:val="000000"/>
          <w:sz w:val="24"/>
        </w:rPr>
        <w:t xml:space="preserve">1009 stanovnika/god.</w:t>
      </w:r>
      <w:r/>
    </w:p>
    <w:p>
      <w:pPr>
        <w:contextualSpacing w:val="0"/>
        <w:ind w:left="0" w:right="0" w:firstLine="0"/>
        <w:jc w:val="both"/>
        <w:spacing w:before="0" w:after="0" w:line="283"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highlight w:val="none"/>
        </w:rPr>
      </w:r>
      <w:r>
        <w:rPr>
          <w:rFonts w:ascii="Times New Roman" w:hAnsi="Times New Roman" w:eastAsia="Times New Roman" w:cs="Times New Roman"/>
          <w:color w:val="000000"/>
          <w:sz w:val="24"/>
          <w:highlight w:val="none"/>
        </w:rPr>
      </w:r>
      <w:r/>
    </w:p>
    <w:p>
      <w:pPr>
        <w:contextualSpacing w:val="0"/>
        <w:ind w:left="0" w:right="0" w:firstLine="0"/>
        <w:jc w:val="both"/>
        <w:spacing w:before="0" w:after="0" w:line="283"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Prosečan godišnji rast u poslednjih 30 godina:</w:t>
      </w:r>
      <w:r>
        <w:rPr>
          <w:rFonts w:ascii="Times New Roman" w:hAnsi="Times New Roman" w:eastAsia="Times New Roman" w:cs="Times New Roman"/>
          <w:color w:val="000000"/>
          <w:sz w:val="24"/>
          <w:szCs w:val="24"/>
          <w:highlight w:val="none"/>
        </w:rPr>
      </w:r>
      <w:r/>
    </w:p>
    <w:p>
      <w:pPr>
        <w:pStyle w:val="910"/>
        <w:numPr>
          <w:ilvl w:val="0"/>
          <w:numId w:val="44"/>
        </w:numPr>
        <w:contextualSpacing w:val="0"/>
        <w:ind w:right="0"/>
        <w:jc w:val="both"/>
        <w:spacing w:before="0" w:after="0" w:line="283"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(574+462+1009)/3≈682stanovnika/god.</w:t>
      </w:r>
      <w:r>
        <w:rPr>
          <w:rFonts w:ascii="Times New Roman" w:hAnsi="Times New Roman" w:eastAsia="Times New Roman" w:cs="Times New Roman"/>
          <w:sz w:val="24"/>
        </w:rPr>
      </w:r>
      <w:r/>
    </w:p>
    <w:p>
      <w:pPr>
        <w:pStyle w:val="910"/>
        <w:numPr>
          <w:ilvl w:val="0"/>
          <w:numId w:val="44"/>
        </w:numPr>
        <w:contextualSpacing w:val="0"/>
        <w:ind w:right="0"/>
        <w:jc w:val="both"/>
        <w:spacing w:before="0" w:after="0" w:line="283"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(574 + 462 + 1009) / 3 ≈ 682 stanovnika/god.</w:t>
      </w:r>
      <w:r>
        <w:rPr>
          <w:rFonts w:ascii="Times New Roman" w:hAnsi="Times New Roman" w:eastAsia="Times New Roman" w:cs="Times New Roman"/>
          <w:sz w:val="24"/>
          <w:szCs w:val="24"/>
        </w:rPr>
      </w:r>
      <w:r/>
    </w:p>
    <w:p>
      <w:pPr>
        <w:pStyle w:val="910"/>
        <w:numPr>
          <w:ilvl w:val="0"/>
          <w:numId w:val="44"/>
        </w:numPr>
        <w:contextualSpacing w:val="0"/>
        <w:ind w:right="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(574+462+1009)/3≈682stanovnika/god.</w:t>
      </w:r>
      <w:r/>
    </w:p>
    <w:p>
      <w:pPr>
        <w:pStyle w:val="736"/>
        <w:contextualSpacing w:val="0"/>
        <w:ind w:left="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highlight w:val="none"/>
        </w:rPr>
      </w:r>
      <w:r>
        <w:rPr>
          <w:rFonts w:ascii="Times New Roman" w:hAnsi="Times New Roman" w:eastAsia="Times New Roman" w:cs="Times New Roman"/>
          <w:b/>
          <w:color w:val="000000"/>
          <w:sz w:val="24"/>
          <w:highlight w:val="none"/>
        </w:rPr>
      </w:r>
      <w:r/>
    </w:p>
    <w:p>
      <w:pPr>
        <w:pStyle w:val="736"/>
        <w:contextualSpacing w:val="0"/>
        <w:ind w:left="0" w:right="0" w:firstLine="0"/>
        <w:jc w:val="both"/>
        <w:spacing w:before="0" w:after="0" w:line="283" w:lineRule="atLeast"/>
        <w:rPr>
          <w:rFonts w:ascii="Times New Roman" w:hAnsi="Times New Roman" w:eastAsia="Times New Roman" w:cs="Times New Roman"/>
          <w:b/>
          <w:bCs/>
          <w:color w:val="000000"/>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Predikcija broja stanovnika:</w:t>
      </w:r>
      <w:r/>
    </w:p>
    <w:p>
      <w:pPr>
        <w:contextualSpacing w:val="0"/>
        <w:ind w:left="0"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Na osnovu prosečnog godišnjeg rasta od </w:t>
      </w:r>
      <w:r>
        <w:rPr>
          <w:rFonts w:ascii="Times New Roman" w:hAnsi="Times New Roman" w:eastAsia="Times New Roman" w:cs="Times New Roman"/>
          <w:b/>
          <w:color w:val="000000"/>
          <w:sz w:val="24"/>
        </w:rPr>
        <w:t xml:space="preserve">682 stanovnika godišnje</w:t>
      </w:r>
      <w:r>
        <w:rPr>
          <w:rFonts w:ascii="Times New Roman" w:hAnsi="Times New Roman" w:eastAsia="Times New Roman" w:cs="Times New Roman"/>
          <w:color w:val="000000"/>
          <w:sz w:val="24"/>
        </w:rPr>
        <w:t xml:space="preserve">, predviđam sledeće:</w:t>
      </w:r>
      <w:r/>
    </w:p>
    <w:p>
      <w:pPr>
        <w:pStyle w:val="910"/>
        <w:numPr>
          <w:ilvl w:val="0"/>
          <w:numId w:val="34"/>
        </w:numPr>
        <w:contextualSpacing w:val="0"/>
        <w:ind w:right="0"/>
        <w:jc w:val="both"/>
        <w:spacing w:before="0" w:after="0" w:line="283" w:lineRule="atLeast"/>
        <w:rPr>
          <w:rFonts w:ascii="Times New Roman" w:hAnsi="Times New Roman" w:eastAsia="Times New Roman" w:cs="Times New Roman"/>
          <w:b/>
          <w:bCs/>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2031. godina:</w:t>
      </w:r>
      <w:r>
        <w:rPr>
          <w:rFonts w:ascii="Times New Roman" w:hAnsi="Times New Roman" w:eastAsia="Times New Roman" w:cs="Times New Roman"/>
          <w:sz w:val="24"/>
        </w:rPr>
      </w:r>
      <w:r/>
    </w:p>
    <w:p>
      <w:pPr>
        <w:contextualSpacing w:val="0"/>
        <w:ind w:left="709" w:right="0" w:firstLine="0"/>
        <w:jc w:val="both"/>
        <w:spacing w:before="0" w:after="0" w:line="283"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r>
      <w:r>
        <w:rPr>
          <w:rFonts w:ascii="Times New Roman" w:hAnsi="Times New Roman" w:eastAsia="Times New Roman" w:cs="Times New Roman"/>
          <w:color w:val="000000"/>
          <w:sz w:val="24"/>
        </w:rPr>
        <w:t xml:space="preserve">106.720+(682×9)=112.858 stanovnika</w:t>
      </w:r>
      <w:r>
        <w:rPr>
          <w:rFonts w:ascii="Times New Roman" w:hAnsi="Times New Roman" w:eastAsia="Times New Roman" w:cs="Times New Roman"/>
          <w:sz w:val="24"/>
          <w:szCs w:val="24"/>
        </w:rPr>
      </w:r>
      <w:r/>
    </w:p>
    <w:p>
      <w:pPr>
        <w:pStyle w:val="910"/>
        <w:numPr>
          <w:ilvl w:val="0"/>
          <w:numId w:val="35"/>
        </w:numPr>
        <w:contextualSpacing w:val="0"/>
        <w:ind w:right="0"/>
        <w:jc w:val="both"/>
        <w:spacing w:before="0" w:after="0" w:line="283" w:lineRule="atLeast"/>
        <w:rPr>
          <w:rFonts w:ascii="Times New Roman" w:hAnsi="Times New Roman" w:eastAsia="Times New Roman" w:cs="Times New Roman"/>
          <w:b/>
          <w:bCs/>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2041. godina:</w:t>
      </w:r>
      <w:r>
        <w:rPr>
          <w:rFonts w:ascii="Times New Roman" w:hAnsi="Times New Roman" w:eastAsia="Times New Roman" w:cs="Times New Roman"/>
          <w:b/>
          <w:bCs/>
          <w:color w:val="000000"/>
          <w:sz w:val="24"/>
          <w:szCs w:val="24"/>
        </w:rPr>
      </w:r>
      <w:r/>
    </w:p>
    <w:p>
      <w:pPr>
        <w:contextualSpacing w:val="0"/>
        <w:ind w:left="709" w:right="0" w:firstLine="0"/>
        <w:jc w:val="both"/>
        <w:spacing w:before="0" w:after="0" w:line="283" w:lineRule="atLeast"/>
        <w:rPr>
          <w:rFonts w:ascii="Times New Roman" w:hAnsi="Times New Roman" w:eastAsia="Times New Roman" w:cs="Times New Roman"/>
          <w:b/>
          <w:bCs/>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r>
      <w:r>
        <w:rPr>
          <w:rFonts w:ascii="Times New Roman" w:hAnsi="Times New Roman" w:eastAsia="Times New Roman" w:cs="Times New Roman"/>
          <w:color w:val="000000"/>
          <w:sz w:val="24"/>
        </w:rPr>
        <w:t xml:space="preserve">106.720+(682×19)=119.718 stanovnika </w:t>
      </w:r>
      <w:r>
        <w:rPr>
          <w:rFonts w:ascii="Times New Roman" w:hAnsi="Times New Roman" w:eastAsia="Times New Roman" w:cs="Times New Roman"/>
          <w:b/>
          <w:bCs/>
          <w:color w:val="000000"/>
          <w:sz w:val="24"/>
          <w:szCs w:val="24"/>
        </w:rPr>
      </w:r>
      <w:r/>
    </w:p>
    <w:p>
      <w:pPr>
        <w:pStyle w:val="910"/>
        <w:numPr>
          <w:ilvl w:val="0"/>
          <w:numId w:val="36"/>
        </w:numPr>
        <w:contextualSpacing w:val="0"/>
        <w:ind w:right="0"/>
        <w:jc w:val="both"/>
        <w:spacing w:before="0" w:after="0" w:line="283" w:lineRule="atLeast"/>
        <w:rPr>
          <w:rFonts w:ascii="Times New Roman" w:hAnsi="Times New Roman" w:eastAsia="Times New Roman" w:cs="Times New Roman"/>
          <w:b/>
          <w:bCs/>
          <w:color w:val="000000"/>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2051. godina:</w:t>
      </w:r>
      <w:r>
        <w:rPr>
          <w:rFonts w:ascii="Times New Roman" w:hAnsi="Times New Roman" w:eastAsia="Times New Roman" w:cs="Times New Roman"/>
          <w:sz w:val="24"/>
        </w:rPr>
      </w:r>
      <w:r/>
    </w:p>
    <w:p>
      <w:pPr>
        <w:contextualSpacing w:val="0"/>
        <w:ind w:left="709"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r>
      <w:r>
        <w:rPr>
          <w:rFonts w:ascii="Times New Roman" w:hAnsi="Times New Roman" w:eastAsia="Times New Roman" w:cs="Times New Roman"/>
          <w:color w:val="000000"/>
          <w:sz w:val="24"/>
        </w:rPr>
        <w:t xml:space="preserve">106.720+(682×29)=126.578 stanovnika</w:t>
      </w:r>
      <w:r/>
    </w:p>
    <w:p>
      <w:pPr>
        <w:pStyle w:val="734"/>
        <w:contextualSpacing w:val="0"/>
        <w:ind w:left="0" w:right="0" w:firstLine="0"/>
        <w:jc w:val="both"/>
        <w:spacing w:before="0" w:after="0" w:line="283"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p>
    <w:p>
      <w:pPr>
        <w:pStyle w:val="734"/>
        <w:contextualSpacing w:val="0"/>
        <w:ind w:left="0" w:right="0" w:firstLine="0"/>
        <w:jc w:val="both"/>
        <w:spacing w:before="0" w:after="0" w:line="283"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pStyle w:val="734"/>
        <w:contextualSpacing w:val="0"/>
        <w:ind w:left="0" w:right="0" w:firstLine="0"/>
        <w:jc w:val="both"/>
        <w:spacing w:before="0" w:after="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rPr>
        <w:t xml:space="preserve">4. Obrazloženje predikcija:</w:t>
      </w:r>
      <w:r/>
    </w:p>
    <w:p>
      <w:pPr>
        <w:contextualSpacing w:val="0"/>
        <w:ind w:left="709"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Kontinuiran rast populacije:</w:t>
      </w:r>
      <w:r/>
    </w:p>
    <w:p>
      <w:pPr>
        <w:pStyle w:val="910"/>
        <w:numPr>
          <w:ilvl w:val="0"/>
          <w:numId w:val="38"/>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Novi Pazar ima izrazito mladu populaciju i tradicionalno visok natalitet, što doprinosi prirodnom priraštaju.</w:t>
      </w:r>
      <w:r/>
    </w:p>
    <w:p>
      <w:pPr>
        <w:pStyle w:val="910"/>
        <w:numPr>
          <w:ilvl w:val="0"/>
          <w:numId w:val="39"/>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Grad je centar ekonomskih i kulturnih aktivnosti u regionu, što ga čini atraktivnim za doseljavanje.</w:t>
      </w:r>
      <w:r/>
    </w:p>
    <w:p>
      <w:pPr>
        <w:contextualSpacing w:val="0"/>
        <w:ind w:left="709"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Migracioni bilans:</w:t>
      </w:r>
      <w:r/>
    </w:p>
    <w:p>
      <w:pPr>
        <w:pStyle w:val="910"/>
        <w:numPr>
          <w:ilvl w:val="0"/>
          <w:numId w:val="41"/>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Grad ima pozitivan migracioni bilans zahvaljujući povratnicima iz dijaspore i prilivu stanovništva iz okolnih ruralnih sredina.</w:t>
      </w:r>
      <w:r/>
    </w:p>
    <w:p>
      <w:pPr>
        <w:contextualSpacing w:val="0"/>
        <w:ind w:left="709"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Moguće usporavanje rasta:</w:t>
      </w:r>
      <w:r/>
    </w:p>
    <w:p>
      <w:pPr>
        <w:pStyle w:val="910"/>
        <w:numPr>
          <w:ilvl w:val="0"/>
          <w:numId w:val="43"/>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Iako trend ukazuje na stalni rast, dugoročno bi moglo doći do usporavanja zbog promena u natalitetu i urbanizaciji (manji broj dece po porodici).</w:t>
      </w:r>
      <w:r/>
    </w:p>
    <w:p>
      <w:pPr>
        <w:pStyle w:val="734"/>
        <w:contextualSpacing w:val="0"/>
        <w:ind w:left="0" w:right="0" w:firstLine="0"/>
        <w:jc w:val="both"/>
        <w:spacing w:before="0" w:after="0" w:line="283" w:lineRule="atLeast"/>
        <w:rPr>
          <w:rFonts w:ascii="Times New Roman" w:hAnsi="Times New Roman" w:eastAsia="Times New Roman" w:cs="Times New Roman"/>
          <w:sz w:val="28"/>
          <w:szCs w:val="28"/>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pStyle w:val="734"/>
        <w:contextualSpacing w:val="0"/>
        <w:ind w:left="0" w:right="0" w:firstLine="0"/>
        <w:jc w:val="both"/>
        <w:spacing w:before="0" w:after="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rPr>
        <w:t xml:space="preserve">5. Zaključak:</w:t>
      </w:r>
      <w:r/>
    </w:p>
    <w:p>
      <w:pPr>
        <w:pStyle w:val="734"/>
        <w:contextualSpacing w:val="0"/>
        <w:ind w:left="0" w:right="0" w:firstLine="0"/>
        <w:jc w:val="both"/>
        <w:spacing w:before="0" w:after="0" w:line="283"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8"/>
          <w:highlight w:val="none"/>
        </w:rPr>
      </w:r>
      <w:r>
        <w:rPr>
          <w:rFonts w:ascii="Times New Roman" w:hAnsi="Times New Roman" w:eastAsia="Times New Roman" w:cs="Times New Roman"/>
          <w:b/>
          <w:color w:val="000000"/>
          <w:sz w:val="28"/>
          <w:highlight w:val="none"/>
        </w:rPr>
      </w:r>
      <w:r/>
    </w:p>
    <w:p>
      <w:pPr>
        <w:contextualSpacing w:val="0"/>
        <w:ind w:left="0"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Starenje populacije:</w:t>
      </w:r>
      <w:r/>
    </w:p>
    <w:p>
      <w:pPr>
        <w:pStyle w:val="910"/>
        <w:numPr>
          <w:ilvl w:val="0"/>
          <w:numId w:val="12"/>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Trend starenja stanovništva je očigledan, sa rastom broja stanovnika u starijim grupama. Ovo može predstavljati izazov za održivost socijalnih i zdravstvenih sistema.</w:t>
      </w:r>
      <w:r/>
    </w:p>
    <w:p>
      <w:pPr>
        <w:contextualSpacing w:val="0"/>
        <w:ind w:left="0"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Smanjenje nataliteta:</w:t>
      </w:r>
      <w:r/>
    </w:p>
    <w:p>
      <w:pPr>
        <w:pStyle w:val="910"/>
        <w:numPr>
          <w:ilvl w:val="0"/>
          <w:numId w:val="14"/>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Pad broja dece u mlađim grupama ukazuje na potrebu za politikama podsticanja rađanja.</w:t>
      </w:r>
      <w:r/>
    </w:p>
    <w:p>
      <w:pPr>
        <w:contextualSpacing w:val="0"/>
        <w:ind w:left="0"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Migracije:</w:t>
      </w:r>
      <w:r/>
    </w:p>
    <w:p>
      <w:pPr>
        <w:pStyle w:val="910"/>
        <w:numPr>
          <w:ilvl w:val="0"/>
          <w:numId w:val="16"/>
        </w:numPr>
        <w:contextualSpacing w:val="0"/>
        <w:ind w:right="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Potrebno je analizirati migracione tokove jer smanjenje u radno sposobnim grupama može uticati na ekonomski razvoj grada.</w:t>
      </w:r>
      <w:r/>
    </w:p>
    <w:p>
      <w:pPr>
        <w:contextualSpacing w:val="0"/>
        <w:ind w:left="0" w:right="0" w:firstLine="0"/>
        <w:jc w:val="both"/>
        <w:spacing w:before="0" w:after="0" w:line="283" w:lineRule="atLeast"/>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b/>
          <w:color w:val="000000"/>
          <w:sz w:val="24"/>
        </w:rPr>
        <w:t xml:space="preserve">Očekivani budući trendovi:</w:t>
      </w:r>
      <w:r>
        <w:rPr>
          <w:rFonts w:ascii="Times New Roman" w:hAnsi="Times New Roman" w:eastAsia="Times New Roman" w:cs="Times New Roman"/>
          <w:sz w:val="24"/>
        </w:rPr>
      </w:r>
      <w:r/>
    </w:p>
    <w:p>
      <w:pPr>
        <w:pStyle w:val="910"/>
        <w:numPr>
          <w:ilvl w:val="0"/>
          <w:numId w:val="46"/>
        </w:numPr>
        <w:contextualSpacing w:val="0"/>
        <w:ind w:right="0"/>
        <w:jc w:val="both"/>
        <w:spacing w:before="0" w:after="0" w:line="283" w:lineRule="atLeast"/>
        <w:rPr>
          <w:rFonts w:ascii="Times New Roman" w:hAnsi="Times New Roman" w:eastAsia="Times New Roman" w:cs="Times New Roman"/>
          <w:color w:val="000000"/>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rPr>
        <w:t xml:space="preserve">Ako se trenutni trendovi nastave, broj stanovnika Novog Pazara bi do 2051. godine mogao dostići </w:t>
      </w:r>
      <w:r>
        <w:rPr>
          <w:rFonts w:ascii="Times New Roman" w:hAnsi="Times New Roman" w:eastAsia="Times New Roman" w:cs="Times New Roman"/>
          <w:b/>
          <w:color w:val="000000"/>
          <w:sz w:val="24"/>
        </w:rPr>
        <w:t xml:space="preserve">oko 126.500 stanovnika</w:t>
      </w:r>
      <w:r>
        <w:rPr>
          <w:rFonts w:ascii="Times New Roman" w:hAnsi="Times New Roman" w:eastAsia="Times New Roman" w:cs="Times New Roman"/>
          <w:color w:val="000000"/>
          <w:sz w:val="24"/>
        </w:rPr>
        <w:t xml:space="preserve">. Međutim, za preciznije prognoze bilo bi potrebno uzeti u obzir i dodatne faktore, poput ekonomskih politika, migracionih tokova i socijalnih promena.</w:t>
      </w:r>
      <w:r>
        <w:rPr>
          <w:rFonts w:ascii="Times New Roman" w:hAnsi="Times New Roman" w:eastAsia="Times New Roman" w:cs="Times New Roman"/>
          <w:color w:val="000000"/>
          <w:sz w:val="24"/>
          <w:szCs w:val="24"/>
          <w:highlight w:val="none"/>
        </w:rPr>
      </w:r>
      <w:r/>
    </w:p>
    <w:p>
      <w:pPr>
        <w:contextualSpacing w:val="0"/>
        <w:ind w:left="720" w:right="0" w:firstLine="0"/>
        <w:jc w:val="both"/>
        <w:spacing w:before="0" w:after="0" w:line="283"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color w:val="000000"/>
          <w:sz w:val="24"/>
          <w:highlight w:val="none"/>
        </w:rPr>
      </w:r>
      <w:r>
        <w:rPr>
          <w:rFonts w:ascii="Times New Roman" w:hAnsi="Times New Roman" w:eastAsia="Times New Roman" w:cs="Times New Roman"/>
          <w:sz w:val="24"/>
          <w:szCs w:val="24"/>
        </w:rPr>
      </w:r>
      <w:r/>
    </w:p>
    <w:sectPr>
      <w:headerReference w:type="default" r:id="rId9"/>
      <w:footerReference w:type="default" r:id="rId10"/>
      <w:footnotePr/>
      <w:endnotePr/>
      <w:type w:val="nextPage"/>
      <w:pgSz w:w="11906" w:h="16838" w:orient="portrait"/>
      <w:pgMar w:top="1161" w:right="850" w:bottom="1134" w:left="1701" w:header="425"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Calibri">
    <w:panose1 w:val="020F0502020204030204"/>
  </w:font>
  <w:font w:name="Asana">
    <w:panose1 w:val="02000603000000000000"/>
  </w:font>
  <w:font w:name="Wingdings">
    <w:panose1 w:val="05010000000000000000"/>
  </w:font>
  <w:font w:name="Courier New">
    <w:panose1 w:val="02070409020205020404"/>
  </w:font>
  <w:font w:name="Symbol">
    <w:panose1 w:val="05010000000000000000"/>
  </w:font>
  <w:font w:name="Arial Narrow">
    <w:panose1 w:val="020B0606020202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jc w:val="right"/>
    </w:pPr>
    <w:fldSimple w:instr="PAGE \* MERGEFORMAT">
      <w:r>
        <w:t xml:space="preserve">1</w:t>
      </w:r>
    </w:fldSimple>
    <w:r/>
    <w:r/>
  </w:p>
  <w:p>
    <w:pPr>
      <w:pStyle w:val="758"/>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6"/>
    </w:pPr>
    <w:r>
      <mc:AlternateContent>
        <mc:Choice Requires="wpg">
          <w:drawing>
            <wp:inline xmlns:wp="http://schemas.openxmlformats.org/drawingml/2006/wordprocessingDrawing" distT="0" distB="0" distL="0" distR="0">
              <wp:extent cx="759165" cy="176546"/>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76414" name=""/>
                      <pic:cNvPicPr>
                        <a:picLocks noChangeAspect="1"/>
                      </pic:cNvPicPr>
                      <pic:nvPr/>
                    </pic:nvPicPr>
                    <pic:blipFill>
                      <a:blip r:embed="rId1"/>
                      <a:srcRect l="0" t="37655" r="0" b="39089"/>
                      <a:stretch/>
                    </pic:blipFill>
                    <pic:spPr bwMode="auto">
                      <a:xfrm flipH="0" flipV="0">
                        <a:off x="0" y="0"/>
                        <a:ext cx="759163" cy="1765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9.8pt;height:13.9pt;mso-wrap-distance-left:0.0pt;mso-wrap-distance-top:0.0pt;mso-wrap-distance-right:0.0pt;mso-wrap-distance-bottom:0.0pt;" stroked="false">
              <v:path textboxrect="0,0,0,0"/>
              <v:imagedata r:id="rId1" o:title=""/>
            </v:shape>
          </w:pict>
        </mc:Fallback>
      </mc:AlternateContent>
      <w:t xml:space="preserve">powered by </w:t>
    </w:r>
    <w:r>
      <mc:AlternateContent>
        <mc:Choice Requires="wpg">
          <w:drawing>
            <wp:inline xmlns:wp="http://schemas.openxmlformats.org/drawingml/2006/wordprocessingDrawing" distT="0" distB="0" distL="0" distR="0">
              <wp:extent cx="344574" cy="186575"/>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58522" name=""/>
                      <pic:cNvPicPr>
                        <a:picLocks noChangeAspect="1"/>
                      </pic:cNvPicPr>
                      <pic:nvPr/>
                    </pic:nvPicPr>
                    <pic:blipFill>
                      <a:blip r:embed="rId2"/>
                      <a:srcRect l="17992" t="28202" r="17670" b="36962"/>
                      <a:stretch/>
                    </pic:blipFill>
                    <pic:spPr bwMode="auto">
                      <a:xfrm flipH="0" flipV="0">
                        <a:off x="0" y="0"/>
                        <a:ext cx="344574" cy="1865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7.1pt;height:14.7pt;mso-wrap-distance-left:0.0pt;mso-wrap-distance-top:0.0pt;mso-wrap-distance-right:0.0pt;mso-wrap-distance-bottom:0.0pt;" stroked="false">
              <v:path textboxrect="0,0,0,0"/>
              <v:imagedata r:id="rId2" o:title=""/>
            </v:shape>
          </w:pict>
        </mc:Fallback>
      </mc:AlternateContent>
    </w:r>
    <w:r/>
    <w:r/>
    <w: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0">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2">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4">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16">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19">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1">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3">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2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29">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5">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4"/>
      </w:rPr>
    </w:lvl>
    <w:lvl w:ilvl="1">
      <w:start w:val="1"/>
      <w:numFmt w:val="bullet"/>
      <w:isLgl w:val="false"/>
      <w:suff w:val="tab"/>
      <w:lvlText w:val="·"/>
      <w:lvlJc w:val="left"/>
      <w:pPr>
        <w:ind w:left="1429" w:hanging="360"/>
      </w:pPr>
      <w:rPr>
        <w:rFonts w:hint="default" w:ascii="Symbol" w:hAnsi="Symbol" w:eastAsia="Symbol" w:cs="Symbol"/>
        <w:color w:val="000000"/>
        <w:sz w:val="24"/>
      </w:rPr>
    </w:lvl>
    <w:lvl w:ilvl="2">
      <w:start w:val="1"/>
      <w:numFmt w:val="bullet"/>
      <w:isLgl w:val="false"/>
      <w:suff w:val="tab"/>
      <w:lvlText w:val="·"/>
      <w:lvlJc w:val="left"/>
      <w:pPr>
        <w:ind w:left="2149" w:hanging="360"/>
      </w:pPr>
      <w:rPr>
        <w:rFonts w:hint="default" w:ascii="Symbol" w:hAnsi="Symbol" w:eastAsia="Symbol" w:cs="Symbol"/>
        <w:color w:val="000000"/>
        <w:sz w:val="24"/>
      </w:rPr>
    </w:lvl>
    <w:lvl w:ilvl="3">
      <w:start w:val="1"/>
      <w:numFmt w:val="bullet"/>
      <w:isLgl w:val="false"/>
      <w:suff w:val="tab"/>
      <w:lvlText w:val="·"/>
      <w:lvlJc w:val="left"/>
      <w:pPr>
        <w:ind w:left="2869" w:hanging="360"/>
      </w:pPr>
      <w:rPr>
        <w:rFonts w:hint="default" w:ascii="Symbol" w:hAnsi="Symbol" w:eastAsia="Symbol" w:cs="Symbol"/>
        <w:color w:val="000000"/>
        <w:sz w:val="24"/>
      </w:rPr>
    </w:lvl>
    <w:lvl w:ilvl="4">
      <w:start w:val="1"/>
      <w:numFmt w:val="bullet"/>
      <w:isLgl w:val="false"/>
      <w:suff w:val="tab"/>
      <w:lvlText w:val="·"/>
      <w:lvlJc w:val="left"/>
      <w:pPr>
        <w:ind w:left="3589" w:hanging="360"/>
      </w:pPr>
      <w:rPr>
        <w:rFonts w:hint="default" w:ascii="Symbol" w:hAnsi="Symbol" w:eastAsia="Symbol" w:cs="Symbol"/>
        <w:color w:val="000000"/>
        <w:sz w:val="24"/>
      </w:rPr>
    </w:lvl>
    <w:lvl w:ilvl="5">
      <w:start w:val="1"/>
      <w:numFmt w:val="bullet"/>
      <w:isLgl w:val="false"/>
      <w:suff w:val="tab"/>
      <w:lvlText w:val="·"/>
      <w:lvlJc w:val="left"/>
      <w:pPr>
        <w:ind w:left="4309" w:hanging="360"/>
      </w:pPr>
      <w:rPr>
        <w:rFonts w:hint="default" w:ascii="Symbol" w:hAnsi="Symbol" w:eastAsia="Symbol" w:cs="Symbol"/>
        <w:color w:val="000000"/>
        <w:sz w:val="24"/>
      </w:rPr>
    </w:lvl>
    <w:lvl w:ilvl="6">
      <w:start w:val="1"/>
      <w:numFmt w:val="bullet"/>
      <w:isLgl w:val="false"/>
      <w:suff w:val="tab"/>
      <w:lvlText w:val="·"/>
      <w:lvlJc w:val="left"/>
      <w:pPr>
        <w:ind w:left="5029" w:hanging="360"/>
      </w:pPr>
      <w:rPr>
        <w:rFonts w:hint="default" w:ascii="Symbol" w:hAnsi="Symbol" w:eastAsia="Symbol" w:cs="Symbol"/>
        <w:color w:val="000000"/>
        <w:sz w:val="24"/>
      </w:rPr>
    </w:lvl>
    <w:lvl w:ilvl="7">
      <w:start w:val="1"/>
      <w:numFmt w:val="bullet"/>
      <w:isLgl w:val="false"/>
      <w:suff w:val="tab"/>
      <w:lvlText w:val="·"/>
      <w:lvlJc w:val="left"/>
      <w:pPr>
        <w:ind w:left="5749" w:hanging="360"/>
      </w:pPr>
      <w:rPr>
        <w:rFonts w:hint="default" w:ascii="Symbol" w:hAnsi="Symbol" w:eastAsia="Symbol" w:cs="Symbol"/>
        <w:color w:val="000000"/>
        <w:sz w:val="24"/>
      </w:rPr>
    </w:lvl>
    <w:lvl w:ilvl="8">
      <w:start w:val="1"/>
      <w:numFmt w:val="bullet"/>
      <w:isLgl w:val="false"/>
      <w:suff w:val="tab"/>
      <w:lvlText w:val="·"/>
      <w:lvlJc w:val="left"/>
      <w:pPr>
        <w:ind w:left="6469" w:hanging="360"/>
      </w:pPr>
      <w:rPr>
        <w:rFonts w:hint="default" w:ascii="Symbol" w:hAnsi="Symbol" w:eastAsia="Symbol" w:cs="Symbol"/>
        <w:color w:val="000000"/>
        <w:sz w:val="24"/>
      </w:rPr>
    </w:lvl>
  </w:abstractNum>
  <w:abstractNum w:abstractNumId="36">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39">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1">
    <w:multiLevelType w:val="hybridMultilevel"/>
    <w:lvl w:ilvl="0">
      <w:start w:val="1"/>
      <w:numFmt w:val="decimal"/>
      <w:isLgl w:val="false"/>
      <w:suff w:val="tab"/>
      <w:lvlText w:val="%1."/>
      <w:lvlJc w:val="right"/>
      <w:pPr>
        <w:ind w:left="709" w:hanging="360"/>
      </w:pPr>
      <w:rPr>
        <w:rFonts w:ascii="Times New Roman" w:hAnsi="Times New Roman" w:eastAsia="Times New Roman" w:cs="Times New Roman"/>
        <w:color w:val="000000"/>
        <w:sz w:val="24"/>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4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
      <w:lvlJc w:val="left"/>
      <w:pPr>
        <w:ind w:left="1429" w:hanging="360"/>
      </w:pPr>
      <w:rPr>
        <w:rFonts w:hint="default" w:ascii="Symbol" w:hAnsi="Symbol" w:eastAsia="Symbol" w:cs="Symbol"/>
      </w:rPr>
    </w:lvl>
    <w:lvl w:ilvl="2">
      <w:start w:val="1"/>
      <w:numFmt w:val="bullet"/>
      <w:isLgl w:val="false"/>
      <w:suff w:val="tab"/>
      <w:lvlText w:val="·"/>
      <w:lvlJc w:val="left"/>
      <w:pPr>
        <w:ind w:left="2149" w:hanging="360"/>
      </w:pPr>
      <w:rPr>
        <w:rFonts w:hint="default" w:ascii="Symbol" w:hAnsi="Symbol" w:eastAsia="Symbol" w:cs="Symbol"/>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
      <w:lvlJc w:val="left"/>
      <w:pPr>
        <w:ind w:left="3589" w:hanging="360"/>
      </w:pPr>
      <w:rPr>
        <w:rFonts w:hint="default" w:ascii="Symbol" w:hAnsi="Symbol" w:eastAsia="Symbol" w:cs="Symbol"/>
      </w:rPr>
    </w:lvl>
    <w:lvl w:ilvl="5">
      <w:start w:val="1"/>
      <w:numFmt w:val="bullet"/>
      <w:isLgl w:val="false"/>
      <w:suff w:val="tab"/>
      <w:lvlText w:val="·"/>
      <w:lvlJc w:val="left"/>
      <w:pPr>
        <w:ind w:left="4309" w:hanging="360"/>
      </w:pPr>
      <w:rPr>
        <w:rFonts w:hint="default" w:ascii="Symbol" w:hAnsi="Symbol" w:eastAsia="Symbol" w:cs="Symbol"/>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
      <w:lvlJc w:val="left"/>
      <w:pPr>
        <w:ind w:left="5749" w:hanging="360"/>
      </w:pPr>
      <w:rPr>
        <w:rFonts w:hint="default" w:ascii="Symbol" w:hAnsi="Symbol" w:eastAsia="Symbol" w:cs="Symbol"/>
      </w:rPr>
    </w:lvl>
    <w:lvl w:ilvl="8">
      <w:start w:val="1"/>
      <w:numFmt w:val="bullet"/>
      <w:isLgl w:val="false"/>
      <w:suff w:val="tab"/>
      <w:lvlText w:val="·"/>
      <w:lvlJc w:val="left"/>
      <w:pPr>
        <w:ind w:left="6469" w:hanging="360"/>
      </w:pPr>
      <w:rPr>
        <w:rFonts w:hint="default" w:ascii="Symbol" w:hAnsi="Symbol" w:eastAsia="Symbol" w:cs="Symbol"/>
      </w:rPr>
    </w:lvl>
  </w:abstractNum>
  <w:abstractNum w:abstractNumId="4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0">
    <w:name w:val="Heading 1"/>
    <w:basedOn w:val="906"/>
    <w:next w:val="906"/>
    <w:link w:val="731"/>
    <w:uiPriority w:val="9"/>
    <w:qFormat/>
    <w:pPr>
      <w:keepLines/>
      <w:keepNext/>
      <w:spacing w:before="480" w:after="200"/>
      <w:outlineLvl w:val="0"/>
    </w:pPr>
    <w:rPr>
      <w:rFonts w:ascii="Arial" w:hAnsi="Arial" w:eastAsia="Arial" w:cs="Arial"/>
      <w:sz w:val="40"/>
      <w:szCs w:val="40"/>
    </w:rPr>
  </w:style>
  <w:style w:type="character" w:styleId="731">
    <w:name w:val="Heading 1 Char"/>
    <w:link w:val="730"/>
    <w:uiPriority w:val="9"/>
    <w:rPr>
      <w:rFonts w:ascii="Arial" w:hAnsi="Arial" w:eastAsia="Arial" w:cs="Arial"/>
      <w:sz w:val="40"/>
      <w:szCs w:val="40"/>
    </w:rPr>
  </w:style>
  <w:style w:type="paragraph" w:styleId="732">
    <w:name w:val="Heading 2"/>
    <w:basedOn w:val="906"/>
    <w:next w:val="906"/>
    <w:link w:val="733"/>
    <w:uiPriority w:val="9"/>
    <w:unhideWhenUsed/>
    <w:qFormat/>
    <w:pPr>
      <w:keepLines/>
      <w:keepNext/>
      <w:spacing w:before="360" w:after="200"/>
      <w:outlineLvl w:val="1"/>
    </w:pPr>
    <w:rPr>
      <w:rFonts w:ascii="Arial" w:hAnsi="Arial" w:eastAsia="Arial" w:cs="Arial"/>
      <w:sz w:val="34"/>
    </w:rPr>
  </w:style>
  <w:style w:type="character" w:styleId="733">
    <w:name w:val="Heading 2 Char"/>
    <w:link w:val="732"/>
    <w:uiPriority w:val="9"/>
    <w:rPr>
      <w:rFonts w:ascii="Arial" w:hAnsi="Arial" w:eastAsia="Arial" w:cs="Arial"/>
      <w:sz w:val="34"/>
    </w:rPr>
  </w:style>
  <w:style w:type="paragraph" w:styleId="734">
    <w:name w:val="Heading 3"/>
    <w:basedOn w:val="906"/>
    <w:next w:val="906"/>
    <w:link w:val="735"/>
    <w:uiPriority w:val="9"/>
    <w:unhideWhenUsed/>
    <w:qFormat/>
    <w:pPr>
      <w:keepLines/>
      <w:keepNext/>
      <w:spacing w:before="320" w:after="200"/>
      <w:outlineLvl w:val="2"/>
    </w:pPr>
    <w:rPr>
      <w:rFonts w:ascii="Arial" w:hAnsi="Arial" w:eastAsia="Arial" w:cs="Arial"/>
      <w:sz w:val="30"/>
      <w:szCs w:val="30"/>
    </w:rPr>
  </w:style>
  <w:style w:type="character" w:styleId="735">
    <w:name w:val="Heading 3 Char"/>
    <w:link w:val="734"/>
    <w:uiPriority w:val="9"/>
    <w:rPr>
      <w:rFonts w:ascii="Arial" w:hAnsi="Arial" w:eastAsia="Arial" w:cs="Arial"/>
      <w:sz w:val="30"/>
      <w:szCs w:val="30"/>
    </w:rPr>
  </w:style>
  <w:style w:type="paragraph" w:styleId="736">
    <w:name w:val="Heading 4"/>
    <w:basedOn w:val="906"/>
    <w:next w:val="906"/>
    <w:link w:val="737"/>
    <w:uiPriority w:val="9"/>
    <w:unhideWhenUsed/>
    <w:qFormat/>
    <w:pPr>
      <w:keepLines/>
      <w:keepNext/>
      <w:spacing w:before="320" w:after="200"/>
      <w:outlineLvl w:val="3"/>
    </w:pPr>
    <w:rPr>
      <w:rFonts w:ascii="Arial" w:hAnsi="Arial" w:eastAsia="Arial" w:cs="Arial"/>
      <w:b/>
      <w:bCs/>
      <w:sz w:val="26"/>
      <w:szCs w:val="26"/>
    </w:rPr>
  </w:style>
  <w:style w:type="character" w:styleId="737">
    <w:name w:val="Heading 4 Char"/>
    <w:link w:val="736"/>
    <w:uiPriority w:val="9"/>
    <w:rPr>
      <w:rFonts w:ascii="Arial" w:hAnsi="Arial" w:eastAsia="Arial" w:cs="Arial"/>
      <w:b/>
      <w:bCs/>
      <w:sz w:val="26"/>
      <w:szCs w:val="26"/>
    </w:rPr>
  </w:style>
  <w:style w:type="paragraph" w:styleId="738">
    <w:name w:val="Heading 5"/>
    <w:basedOn w:val="906"/>
    <w:next w:val="906"/>
    <w:link w:val="739"/>
    <w:uiPriority w:val="9"/>
    <w:unhideWhenUsed/>
    <w:qFormat/>
    <w:pPr>
      <w:keepLines/>
      <w:keepNext/>
      <w:spacing w:before="320" w:after="200"/>
      <w:outlineLvl w:val="4"/>
    </w:pPr>
    <w:rPr>
      <w:rFonts w:ascii="Arial" w:hAnsi="Arial" w:eastAsia="Arial" w:cs="Arial"/>
      <w:b/>
      <w:bCs/>
      <w:sz w:val="24"/>
      <w:szCs w:val="24"/>
    </w:rPr>
  </w:style>
  <w:style w:type="character" w:styleId="739">
    <w:name w:val="Heading 5 Char"/>
    <w:link w:val="738"/>
    <w:uiPriority w:val="9"/>
    <w:rPr>
      <w:rFonts w:ascii="Arial" w:hAnsi="Arial" w:eastAsia="Arial" w:cs="Arial"/>
      <w:b/>
      <w:bCs/>
      <w:sz w:val="24"/>
      <w:szCs w:val="24"/>
    </w:rPr>
  </w:style>
  <w:style w:type="paragraph" w:styleId="740">
    <w:name w:val="Heading 6"/>
    <w:basedOn w:val="906"/>
    <w:next w:val="906"/>
    <w:link w:val="741"/>
    <w:uiPriority w:val="9"/>
    <w:unhideWhenUsed/>
    <w:qFormat/>
    <w:pPr>
      <w:keepLines/>
      <w:keepNext/>
      <w:spacing w:before="320" w:after="200"/>
      <w:outlineLvl w:val="5"/>
    </w:pPr>
    <w:rPr>
      <w:rFonts w:ascii="Arial" w:hAnsi="Arial" w:eastAsia="Arial" w:cs="Arial"/>
      <w:b/>
      <w:bCs/>
      <w:sz w:val="22"/>
      <w:szCs w:val="22"/>
    </w:rPr>
  </w:style>
  <w:style w:type="character" w:styleId="741">
    <w:name w:val="Heading 6 Char"/>
    <w:link w:val="740"/>
    <w:uiPriority w:val="9"/>
    <w:rPr>
      <w:rFonts w:ascii="Arial" w:hAnsi="Arial" w:eastAsia="Arial" w:cs="Arial"/>
      <w:b/>
      <w:bCs/>
      <w:sz w:val="22"/>
      <w:szCs w:val="22"/>
    </w:rPr>
  </w:style>
  <w:style w:type="paragraph" w:styleId="742">
    <w:name w:val="Heading 7"/>
    <w:basedOn w:val="906"/>
    <w:next w:val="906"/>
    <w:link w:val="743"/>
    <w:uiPriority w:val="9"/>
    <w:unhideWhenUsed/>
    <w:qFormat/>
    <w:pPr>
      <w:keepLines/>
      <w:keepNext/>
      <w:spacing w:before="320" w:after="200"/>
      <w:outlineLvl w:val="6"/>
    </w:pPr>
    <w:rPr>
      <w:rFonts w:ascii="Arial" w:hAnsi="Arial" w:eastAsia="Arial" w:cs="Arial"/>
      <w:b/>
      <w:bCs/>
      <w:i/>
      <w:iCs/>
      <w:sz w:val="22"/>
      <w:szCs w:val="22"/>
    </w:rPr>
  </w:style>
  <w:style w:type="character" w:styleId="743">
    <w:name w:val="Heading 7 Char"/>
    <w:link w:val="742"/>
    <w:uiPriority w:val="9"/>
    <w:rPr>
      <w:rFonts w:ascii="Arial" w:hAnsi="Arial" w:eastAsia="Arial" w:cs="Arial"/>
      <w:b/>
      <w:bCs/>
      <w:i/>
      <w:iCs/>
      <w:sz w:val="22"/>
      <w:szCs w:val="22"/>
    </w:rPr>
  </w:style>
  <w:style w:type="paragraph" w:styleId="744">
    <w:name w:val="Heading 8"/>
    <w:basedOn w:val="906"/>
    <w:next w:val="906"/>
    <w:link w:val="745"/>
    <w:uiPriority w:val="9"/>
    <w:unhideWhenUsed/>
    <w:qFormat/>
    <w:pPr>
      <w:keepLines/>
      <w:keepNext/>
      <w:spacing w:before="320" w:after="200"/>
      <w:outlineLvl w:val="7"/>
    </w:pPr>
    <w:rPr>
      <w:rFonts w:ascii="Arial" w:hAnsi="Arial" w:eastAsia="Arial" w:cs="Arial"/>
      <w:i/>
      <w:iCs/>
      <w:sz w:val="22"/>
      <w:szCs w:val="22"/>
    </w:rPr>
  </w:style>
  <w:style w:type="character" w:styleId="745">
    <w:name w:val="Heading 8 Char"/>
    <w:link w:val="744"/>
    <w:uiPriority w:val="9"/>
    <w:rPr>
      <w:rFonts w:ascii="Arial" w:hAnsi="Arial" w:eastAsia="Arial" w:cs="Arial"/>
      <w:i/>
      <w:iCs/>
      <w:sz w:val="22"/>
      <w:szCs w:val="22"/>
    </w:rPr>
  </w:style>
  <w:style w:type="paragraph" w:styleId="746">
    <w:name w:val="Heading 9"/>
    <w:basedOn w:val="906"/>
    <w:next w:val="906"/>
    <w:link w:val="747"/>
    <w:uiPriority w:val="9"/>
    <w:unhideWhenUsed/>
    <w:qFormat/>
    <w:pPr>
      <w:keepLines/>
      <w:keepNext/>
      <w:spacing w:before="320" w:after="200"/>
      <w:outlineLvl w:val="8"/>
    </w:pPr>
    <w:rPr>
      <w:rFonts w:ascii="Arial" w:hAnsi="Arial" w:eastAsia="Arial" w:cs="Arial"/>
      <w:i/>
      <w:iCs/>
      <w:sz w:val="21"/>
      <w:szCs w:val="21"/>
    </w:rPr>
  </w:style>
  <w:style w:type="character" w:styleId="747">
    <w:name w:val="Heading 9 Char"/>
    <w:link w:val="746"/>
    <w:uiPriority w:val="9"/>
    <w:rPr>
      <w:rFonts w:ascii="Arial" w:hAnsi="Arial" w:eastAsia="Arial" w:cs="Arial"/>
      <w:i/>
      <w:iCs/>
      <w:sz w:val="21"/>
      <w:szCs w:val="21"/>
    </w:rPr>
  </w:style>
  <w:style w:type="paragraph" w:styleId="748">
    <w:name w:val="Title"/>
    <w:basedOn w:val="906"/>
    <w:next w:val="906"/>
    <w:link w:val="749"/>
    <w:uiPriority w:val="10"/>
    <w:qFormat/>
    <w:pPr>
      <w:contextualSpacing/>
      <w:spacing w:before="300" w:after="200"/>
    </w:pPr>
    <w:rPr>
      <w:sz w:val="48"/>
      <w:szCs w:val="48"/>
    </w:rPr>
  </w:style>
  <w:style w:type="character" w:styleId="749">
    <w:name w:val="Title Char"/>
    <w:link w:val="748"/>
    <w:uiPriority w:val="10"/>
    <w:rPr>
      <w:sz w:val="48"/>
      <w:szCs w:val="48"/>
    </w:rPr>
  </w:style>
  <w:style w:type="paragraph" w:styleId="750">
    <w:name w:val="Subtitle"/>
    <w:basedOn w:val="906"/>
    <w:next w:val="906"/>
    <w:link w:val="751"/>
    <w:uiPriority w:val="11"/>
    <w:qFormat/>
    <w:pPr>
      <w:spacing w:before="200" w:after="200"/>
    </w:pPr>
    <w:rPr>
      <w:sz w:val="24"/>
      <w:szCs w:val="24"/>
    </w:rPr>
  </w:style>
  <w:style w:type="character" w:styleId="751">
    <w:name w:val="Subtitle Char"/>
    <w:link w:val="750"/>
    <w:uiPriority w:val="11"/>
    <w:rPr>
      <w:sz w:val="24"/>
      <w:szCs w:val="24"/>
    </w:rPr>
  </w:style>
  <w:style w:type="paragraph" w:styleId="752">
    <w:name w:val="Quote"/>
    <w:basedOn w:val="906"/>
    <w:next w:val="906"/>
    <w:link w:val="753"/>
    <w:uiPriority w:val="29"/>
    <w:qFormat/>
    <w:pPr>
      <w:ind w:left="720" w:right="720"/>
    </w:pPr>
    <w:rPr>
      <w:i/>
    </w:rPr>
  </w:style>
  <w:style w:type="character" w:styleId="753">
    <w:name w:val="Quote Char"/>
    <w:link w:val="752"/>
    <w:uiPriority w:val="29"/>
    <w:rPr>
      <w:i/>
    </w:rPr>
  </w:style>
  <w:style w:type="paragraph" w:styleId="754">
    <w:name w:val="Intense Quote"/>
    <w:basedOn w:val="906"/>
    <w:next w:val="906"/>
    <w:link w:val="75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5">
    <w:name w:val="Intense Quote Char"/>
    <w:link w:val="754"/>
    <w:uiPriority w:val="30"/>
    <w:rPr>
      <w:i/>
    </w:rPr>
  </w:style>
  <w:style w:type="paragraph" w:styleId="756">
    <w:name w:val="Header"/>
    <w:basedOn w:val="906"/>
    <w:link w:val="757"/>
    <w:uiPriority w:val="99"/>
    <w:unhideWhenUsed/>
    <w:pPr>
      <w:spacing w:after="0" w:line="240" w:lineRule="auto"/>
      <w:tabs>
        <w:tab w:val="center" w:pos="7143" w:leader="none"/>
        <w:tab w:val="right" w:pos="14287" w:leader="none"/>
      </w:tabs>
    </w:pPr>
  </w:style>
  <w:style w:type="character" w:styleId="757">
    <w:name w:val="Header Char"/>
    <w:link w:val="756"/>
    <w:uiPriority w:val="99"/>
  </w:style>
  <w:style w:type="paragraph" w:styleId="758">
    <w:name w:val="Footer"/>
    <w:basedOn w:val="906"/>
    <w:link w:val="761"/>
    <w:uiPriority w:val="99"/>
    <w:unhideWhenUsed/>
    <w:pPr>
      <w:spacing w:after="0" w:line="240" w:lineRule="auto"/>
      <w:tabs>
        <w:tab w:val="center" w:pos="7143" w:leader="none"/>
        <w:tab w:val="right" w:pos="14287" w:leader="none"/>
      </w:tabs>
    </w:pPr>
  </w:style>
  <w:style w:type="character" w:styleId="759">
    <w:name w:val="Footer Char"/>
    <w:link w:val="758"/>
    <w:uiPriority w:val="99"/>
  </w:style>
  <w:style w:type="paragraph" w:styleId="760">
    <w:name w:val="Caption"/>
    <w:basedOn w:val="906"/>
    <w:next w:val="906"/>
    <w:uiPriority w:val="35"/>
    <w:semiHidden/>
    <w:unhideWhenUsed/>
    <w:qFormat/>
    <w:pPr>
      <w:spacing w:line="276" w:lineRule="auto"/>
    </w:pPr>
    <w:rPr>
      <w:b/>
      <w:bCs/>
      <w:color w:val="4f81bd" w:themeColor="accent1"/>
      <w:sz w:val="18"/>
      <w:szCs w:val="18"/>
    </w:rPr>
  </w:style>
  <w:style w:type="character" w:styleId="761">
    <w:name w:val="Caption Char"/>
    <w:basedOn w:val="760"/>
    <w:link w:val="758"/>
    <w:uiPriority w:val="99"/>
  </w:style>
  <w:style w:type="table" w:styleId="762">
    <w:name w:val="Table Grid"/>
    <w:basedOn w:val="90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3">
    <w:name w:val="Table Grid Light"/>
    <w:basedOn w:val="9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4">
    <w:name w:val="Plain Table 1"/>
    <w:basedOn w:val="90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5">
    <w:name w:val="Plain Table 2"/>
    <w:basedOn w:val="90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6">
    <w:name w:val="Plain Table 3"/>
    <w:basedOn w:val="9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7">
    <w:name w:val="Plain Table 4"/>
    <w:basedOn w:val="9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8">
    <w:name w:val="Plain Table 5"/>
    <w:basedOn w:val="90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9">
    <w:name w:val="Grid Table 1 Light"/>
    <w:basedOn w:val="90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0">
    <w:name w:val="Grid Table 1 Light - Accent 1"/>
    <w:basedOn w:val="9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1">
    <w:name w:val="Grid Table 1 Light - Accent 2"/>
    <w:basedOn w:val="9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2">
    <w:name w:val="Grid Table 1 Light - Accent 3"/>
    <w:basedOn w:val="9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3">
    <w:name w:val="Grid Table 1 Light - Accent 4"/>
    <w:basedOn w:val="9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4">
    <w:name w:val="Grid Table 1 Light - Accent 5"/>
    <w:basedOn w:val="9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5">
    <w:name w:val="Grid Table 1 Light - Accent 6"/>
    <w:basedOn w:val="9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6">
    <w:name w:val="Grid Table 2"/>
    <w:basedOn w:val="9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7">
    <w:name w:val="Grid Table 2 - Accent 1"/>
    <w:basedOn w:val="9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8">
    <w:name w:val="Grid Table 2 - Accent 2"/>
    <w:basedOn w:val="9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2 - Accent 3"/>
    <w:basedOn w:val="9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2 - Accent 4"/>
    <w:basedOn w:val="9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2 - Accent 5"/>
    <w:basedOn w:val="9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2">
    <w:name w:val="Grid Table 2 - Accent 6"/>
    <w:basedOn w:val="9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3">
    <w:name w:val="Grid Table 3"/>
    <w:basedOn w:val="90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1"/>
    <w:basedOn w:val="90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2"/>
    <w:basedOn w:val="90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3"/>
    <w:basedOn w:val="90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4"/>
    <w:basedOn w:val="90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5"/>
    <w:basedOn w:val="90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6"/>
    <w:basedOn w:val="90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4"/>
    <w:basedOn w:val="90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1">
    <w:name w:val="Grid Table 4 - Accent 1"/>
    <w:basedOn w:val="90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2">
    <w:name w:val="Grid Table 4 - Accent 2"/>
    <w:basedOn w:val="90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3">
    <w:name w:val="Grid Table 4 - Accent 3"/>
    <w:basedOn w:val="90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4">
    <w:name w:val="Grid Table 4 - Accent 4"/>
    <w:basedOn w:val="90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5">
    <w:name w:val="Grid Table 4 - Accent 5"/>
    <w:basedOn w:val="90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6">
    <w:name w:val="Grid Table 4 - Accent 6"/>
    <w:basedOn w:val="90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7">
    <w:name w:val="Grid Table 5 Dark"/>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8">
    <w:name w:val="Grid Table 5 Dark- Accent 1"/>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99">
    <w:name w:val="Grid Table 5 Dark - Accent 2"/>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00">
    <w:name w:val="Grid Table 5 Dark - Accent 3"/>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01">
    <w:name w:val="Grid Table 5 Dark- Accent 4"/>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02">
    <w:name w:val="Grid Table 5 Dark - Accent 5"/>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03">
    <w:name w:val="Grid Table 5 Dark - Accent 6"/>
    <w:basedOn w:val="90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04">
    <w:name w:val="Grid Table 6 Colorful"/>
    <w:basedOn w:val="90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5">
    <w:name w:val="Grid Table 6 Colorful - Accent 1"/>
    <w:basedOn w:val="90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06">
    <w:name w:val="Grid Table 6 Colorful - Accent 2"/>
    <w:basedOn w:val="9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07">
    <w:name w:val="Grid Table 6 Colorful - Accent 3"/>
    <w:basedOn w:val="90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08">
    <w:name w:val="Grid Table 6 Colorful - Accent 4"/>
    <w:basedOn w:val="9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09">
    <w:name w:val="Grid Table 6 Colorful - Accent 5"/>
    <w:basedOn w:val="90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10">
    <w:name w:val="Grid Table 6 Colorful - Accent 6"/>
    <w:basedOn w:val="90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11">
    <w:name w:val="Grid Table 7 Colorful"/>
    <w:basedOn w:val="90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2">
    <w:name w:val="Grid Table 7 Colorful - Accent 1"/>
    <w:basedOn w:val="90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3">
    <w:name w:val="Grid Table 7 Colorful - Accent 2"/>
    <w:basedOn w:val="90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4">
    <w:name w:val="Grid Table 7 Colorful - Accent 3"/>
    <w:basedOn w:val="90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5">
    <w:name w:val="Grid Table 7 Colorful - Accent 4"/>
    <w:basedOn w:val="90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6">
    <w:name w:val="Grid Table 7 Colorful - Accent 5"/>
    <w:basedOn w:val="90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7">
    <w:name w:val="Grid Table 7 Colorful - Accent 6"/>
    <w:basedOn w:val="90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8">
    <w:name w:val="List Table 1 Light"/>
    <w:basedOn w:val="90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9">
    <w:name w:val="List Table 1 Light - Accent 1"/>
    <w:basedOn w:val="90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0">
    <w:name w:val="List Table 1 Light - Accent 2"/>
    <w:basedOn w:val="90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1">
    <w:name w:val="List Table 1 Light - Accent 3"/>
    <w:basedOn w:val="90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2">
    <w:name w:val="List Table 1 Light - Accent 4"/>
    <w:basedOn w:val="90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3">
    <w:name w:val="List Table 1 Light - Accent 5"/>
    <w:basedOn w:val="90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4">
    <w:name w:val="List Table 1 Light - Accent 6"/>
    <w:basedOn w:val="90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5">
    <w:name w:val="List Table 2"/>
    <w:basedOn w:val="90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6">
    <w:name w:val="List Table 2 - Accent 1"/>
    <w:basedOn w:val="90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7">
    <w:name w:val="List Table 2 - Accent 2"/>
    <w:basedOn w:val="90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8">
    <w:name w:val="List Table 2 - Accent 3"/>
    <w:basedOn w:val="90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9">
    <w:name w:val="List Table 2 - Accent 4"/>
    <w:basedOn w:val="90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0">
    <w:name w:val="List Table 2 - Accent 5"/>
    <w:basedOn w:val="90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1">
    <w:name w:val="List Table 2 - Accent 6"/>
    <w:basedOn w:val="90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2">
    <w:name w:val="List Table 3"/>
    <w:basedOn w:val="9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3">
    <w:name w:val="List Table 3 - Accent 1"/>
    <w:basedOn w:val="90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34">
    <w:name w:val="List Table 3 - Accent 2"/>
    <w:basedOn w:val="90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35">
    <w:name w:val="List Table 3 - Accent 3"/>
    <w:basedOn w:val="90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36">
    <w:name w:val="List Table 3 - Accent 4"/>
    <w:basedOn w:val="90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37">
    <w:name w:val="List Table 3 - Accent 5"/>
    <w:basedOn w:val="90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838">
    <w:name w:val="List Table 3 - Accent 6"/>
    <w:basedOn w:val="90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39">
    <w:name w:val="List Table 4"/>
    <w:basedOn w:val="90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0">
    <w:name w:val="List Table 4 - Accent 1"/>
    <w:basedOn w:val="90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41">
    <w:name w:val="List Table 4 - Accent 2"/>
    <w:basedOn w:val="90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42">
    <w:name w:val="List Table 4 - Accent 3"/>
    <w:basedOn w:val="90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43">
    <w:name w:val="List Table 4 - Accent 4"/>
    <w:basedOn w:val="90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44">
    <w:name w:val="List Table 4 - Accent 5"/>
    <w:basedOn w:val="90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45">
    <w:name w:val="List Table 4 - Accent 6"/>
    <w:basedOn w:val="90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46">
    <w:name w:val="List Table 5 Dark"/>
    <w:basedOn w:val="90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1"/>
    <w:basedOn w:val="90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2"/>
    <w:basedOn w:val="90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3"/>
    <w:basedOn w:val="90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4"/>
    <w:basedOn w:val="90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5"/>
    <w:basedOn w:val="90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6"/>
    <w:basedOn w:val="90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6 Colorful"/>
    <w:basedOn w:val="90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4">
    <w:name w:val="List Table 6 Colorful - Accent 1"/>
    <w:basedOn w:val="90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55">
    <w:name w:val="List Table 6 Colorful - Accent 2"/>
    <w:basedOn w:val="90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56">
    <w:name w:val="List Table 6 Colorful - Accent 3"/>
    <w:basedOn w:val="90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57">
    <w:name w:val="List Table 6 Colorful - Accent 4"/>
    <w:basedOn w:val="90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58">
    <w:name w:val="List Table 6 Colorful - Accent 5"/>
    <w:basedOn w:val="90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59">
    <w:name w:val="List Table 6 Colorful - Accent 6"/>
    <w:basedOn w:val="90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60">
    <w:name w:val="List Table 7 Colorful"/>
    <w:basedOn w:val="90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1">
    <w:name w:val="List Table 7 Colorful - Accent 1"/>
    <w:basedOn w:val="90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62">
    <w:name w:val="List Table 7 Colorful - Accent 2"/>
    <w:basedOn w:val="90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63">
    <w:name w:val="List Table 7 Colorful - Accent 3"/>
    <w:basedOn w:val="90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64">
    <w:name w:val="List Table 7 Colorful - Accent 4"/>
    <w:basedOn w:val="90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65">
    <w:name w:val="List Table 7 Colorful - Accent 5"/>
    <w:basedOn w:val="90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66">
    <w:name w:val="List Table 7 Colorful - Accent 6"/>
    <w:basedOn w:val="90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67">
    <w:name w:val="Lined - Accent"/>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8">
    <w:name w:val="Lined - Accent 1"/>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69">
    <w:name w:val="Lined - Accent 2"/>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70">
    <w:name w:val="Lined - Accent 3"/>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71">
    <w:name w:val="Lined - Accent 4"/>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2">
    <w:name w:val="Lined - Accent 5"/>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73">
    <w:name w:val="Lined - Accent 6"/>
    <w:basedOn w:val="90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74">
    <w:name w:val="Bordered &amp; Lined - Accent"/>
    <w:basedOn w:val="90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5">
    <w:name w:val="Bordered &amp; Lined - Accent 1"/>
    <w:basedOn w:val="90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76">
    <w:name w:val="Bordered &amp; Lined - Accent 2"/>
    <w:basedOn w:val="90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77">
    <w:name w:val="Bordered &amp; Lined - Accent 3"/>
    <w:basedOn w:val="90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78">
    <w:name w:val="Bordered &amp; Lined - Accent 4"/>
    <w:basedOn w:val="90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79">
    <w:name w:val="Bordered &amp; Lined - Accent 5"/>
    <w:basedOn w:val="90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80">
    <w:name w:val="Bordered &amp; Lined - Accent 6"/>
    <w:basedOn w:val="90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81">
    <w:name w:val="Bordered"/>
    <w:basedOn w:val="90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2">
    <w:name w:val="Bordered - Accent 1"/>
    <w:basedOn w:val="90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3">
    <w:name w:val="Bordered - Accent 2"/>
    <w:basedOn w:val="90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4">
    <w:name w:val="Bordered - Accent 3"/>
    <w:basedOn w:val="90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5">
    <w:name w:val="Bordered - Accent 4"/>
    <w:basedOn w:val="90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6">
    <w:name w:val="Bordered - Accent 5"/>
    <w:basedOn w:val="90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7">
    <w:name w:val="Bordered - Accent 6"/>
    <w:basedOn w:val="90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8">
    <w:name w:val="Hyperlink"/>
    <w:uiPriority w:val="99"/>
    <w:unhideWhenUsed/>
    <w:rPr>
      <w:color w:val="0000ff" w:themeColor="hyperlink"/>
      <w:u w:val="single"/>
    </w:rPr>
  </w:style>
  <w:style w:type="paragraph" w:styleId="889">
    <w:name w:val="footnote text"/>
    <w:basedOn w:val="906"/>
    <w:link w:val="890"/>
    <w:uiPriority w:val="99"/>
    <w:semiHidden/>
    <w:unhideWhenUsed/>
    <w:pPr>
      <w:spacing w:after="40" w:line="240" w:lineRule="auto"/>
    </w:pPr>
    <w:rPr>
      <w:sz w:val="18"/>
    </w:rPr>
  </w:style>
  <w:style w:type="character" w:styleId="890">
    <w:name w:val="Footnote Text Char"/>
    <w:link w:val="889"/>
    <w:uiPriority w:val="99"/>
    <w:rPr>
      <w:sz w:val="18"/>
    </w:rPr>
  </w:style>
  <w:style w:type="character" w:styleId="891">
    <w:name w:val="footnote reference"/>
    <w:uiPriority w:val="99"/>
    <w:unhideWhenUsed/>
    <w:rPr>
      <w:vertAlign w:val="superscript"/>
    </w:rPr>
  </w:style>
  <w:style w:type="paragraph" w:styleId="892">
    <w:name w:val="endnote text"/>
    <w:basedOn w:val="906"/>
    <w:link w:val="893"/>
    <w:uiPriority w:val="99"/>
    <w:semiHidden/>
    <w:unhideWhenUsed/>
    <w:pPr>
      <w:spacing w:after="0" w:line="240" w:lineRule="auto"/>
    </w:pPr>
    <w:rPr>
      <w:sz w:val="20"/>
    </w:rPr>
  </w:style>
  <w:style w:type="character" w:styleId="893">
    <w:name w:val="Endnote Text Char"/>
    <w:link w:val="892"/>
    <w:uiPriority w:val="99"/>
    <w:rPr>
      <w:sz w:val="20"/>
    </w:rPr>
  </w:style>
  <w:style w:type="character" w:styleId="894">
    <w:name w:val="endnote reference"/>
    <w:uiPriority w:val="99"/>
    <w:semiHidden/>
    <w:unhideWhenUsed/>
    <w:rPr>
      <w:vertAlign w:val="superscript"/>
    </w:rPr>
  </w:style>
  <w:style w:type="paragraph" w:styleId="895">
    <w:name w:val="toc 1"/>
    <w:basedOn w:val="906"/>
    <w:next w:val="906"/>
    <w:uiPriority w:val="39"/>
    <w:unhideWhenUsed/>
    <w:pPr>
      <w:ind w:left="0" w:right="0" w:firstLine="0"/>
      <w:spacing w:after="57"/>
    </w:pPr>
  </w:style>
  <w:style w:type="paragraph" w:styleId="896">
    <w:name w:val="toc 2"/>
    <w:basedOn w:val="906"/>
    <w:next w:val="906"/>
    <w:uiPriority w:val="39"/>
    <w:unhideWhenUsed/>
    <w:pPr>
      <w:ind w:left="283" w:right="0" w:firstLine="0"/>
      <w:spacing w:after="57"/>
    </w:pPr>
  </w:style>
  <w:style w:type="paragraph" w:styleId="897">
    <w:name w:val="toc 3"/>
    <w:basedOn w:val="906"/>
    <w:next w:val="906"/>
    <w:uiPriority w:val="39"/>
    <w:unhideWhenUsed/>
    <w:pPr>
      <w:ind w:left="567" w:right="0" w:firstLine="0"/>
      <w:spacing w:after="57"/>
    </w:pPr>
  </w:style>
  <w:style w:type="paragraph" w:styleId="898">
    <w:name w:val="toc 4"/>
    <w:basedOn w:val="906"/>
    <w:next w:val="906"/>
    <w:uiPriority w:val="39"/>
    <w:unhideWhenUsed/>
    <w:pPr>
      <w:ind w:left="850" w:right="0" w:firstLine="0"/>
      <w:spacing w:after="57"/>
    </w:pPr>
  </w:style>
  <w:style w:type="paragraph" w:styleId="899">
    <w:name w:val="toc 5"/>
    <w:basedOn w:val="906"/>
    <w:next w:val="906"/>
    <w:uiPriority w:val="39"/>
    <w:unhideWhenUsed/>
    <w:pPr>
      <w:ind w:left="1134" w:right="0" w:firstLine="0"/>
      <w:spacing w:after="57"/>
    </w:pPr>
  </w:style>
  <w:style w:type="paragraph" w:styleId="900">
    <w:name w:val="toc 6"/>
    <w:basedOn w:val="906"/>
    <w:next w:val="906"/>
    <w:uiPriority w:val="39"/>
    <w:unhideWhenUsed/>
    <w:pPr>
      <w:ind w:left="1417" w:right="0" w:firstLine="0"/>
      <w:spacing w:after="57"/>
    </w:pPr>
  </w:style>
  <w:style w:type="paragraph" w:styleId="901">
    <w:name w:val="toc 7"/>
    <w:basedOn w:val="906"/>
    <w:next w:val="906"/>
    <w:uiPriority w:val="39"/>
    <w:unhideWhenUsed/>
    <w:pPr>
      <w:ind w:left="1701" w:right="0" w:firstLine="0"/>
      <w:spacing w:after="57"/>
    </w:pPr>
  </w:style>
  <w:style w:type="paragraph" w:styleId="902">
    <w:name w:val="toc 8"/>
    <w:basedOn w:val="906"/>
    <w:next w:val="906"/>
    <w:uiPriority w:val="39"/>
    <w:unhideWhenUsed/>
    <w:pPr>
      <w:ind w:left="1984" w:right="0" w:firstLine="0"/>
      <w:spacing w:after="57"/>
    </w:pPr>
  </w:style>
  <w:style w:type="paragraph" w:styleId="903">
    <w:name w:val="toc 9"/>
    <w:basedOn w:val="906"/>
    <w:next w:val="906"/>
    <w:uiPriority w:val="39"/>
    <w:unhideWhenUsed/>
    <w:pPr>
      <w:ind w:left="2268" w:right="0" w:firstLine="0"/>
      <w:spacing w:after="57"/>
    </w:pPr>
  </w:style>
  <w:style w:type="paragraph" w:styleId="904">
    <w:name w:val="TOC Heading"/>
    <w:uiPriority w:val="39"/>
    <w:unhideWhenUsed/>
  </w:style>
  <w:style w:type="paragraph" w:styleId="905">
    <w:name w:val="table of figures"/>
    <w:basedOn w:val="906"/>
    <w:next w:val="906"/>
    <w:uiPriority w:val="99"/>
    <w:unhideWhenUsed/>
    <w:pPr>
      <w:spacing w:after="0" w:afterAutospacing="0"/>
    </w:pPr>
  </w:style>
  <w:style w:type="paragraph" w:styleId="906" w:default="1">
    <w:name w:val="Normal"/>
    <w:qFormat/>
  </w:style>
  <w:style w:type="table" w:styleId="907" w:default="1">
    <w:name w:val="Normal Table"/>
    <w:uiPriority w:val="99"/>
    <w:semiHidden/>
    <w:unhideWhenUsed/>
    <w:tblPr>
      <w:tblInd w:w="0" w:type="dxa"/>
      <w:tblCellMar>
        <w:left w:w="108" w:type="dxa"/>
        <w:top w:w="0" w:type="dxa"/>
        <w:right w:w="108" w:type="dxa"/>
        <w:bottom w:w="0" w:type="dxa"/>
      </w:tblCellMar>
    </w:tblPr>
  </w:style>
  <w:style w:type="numbering" w:styleId="908" w:default="1">
    <w:name w:val="No List"/>
    <w:uiPriority w:val="99"/>
    <w:semiHidden/>
    <w:unhideWhenUsed/>
  </w:style>
  <w:style w:type="paragraph" w:styleId="909">
    <w:name w:val="No Spacing"/>
    <w:basedOn w:val="906"/>
    <w:uiPriority w:val="1"/>
    <w:qFormat/>
    <w:pPr>
      <w:spacing w:after="0" w:line="240" w:lineRule="auto"/>
    </w:pPr>
  </w:style>
  <w:style w:type="paragraph" w:styleId="910">
    <w:name w:val="List Paragraph"/>
    <w:basedOn w:val="906"/>
    <w:uiPriority w:val="34"/>
    <w:qFormat/>
    <w:pPr>
      <w:contextualSpacing/>
      <w:ind w:left="720"/>
    </w:pPr>
  </w:style>
  <w:style w:type="character" w:styleId="911"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3.png"/><Relationship Id="rId12"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3</cp:revision>
  <dcterms:modified xsi:type="dcterms:W3CDTF">2024-12-30T21:58:08Z</dcterms:modified>
</cp:coreProperties>
</file>